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6D779">
      <w:pPr>
        <w:pStyle w:val="2"/>
        <w:spacing w:line="297" w:lineRule="auto"/>
      </w:pPr>
    </w:p>
    <w:p w14:paraId="2B9EE1DF">
      <w:pPr>
        <w:spacing w:before="130" w:line="224" w:lineRule="auto"/>
        <w:ind w:left="754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18"/>
          <w:sz w:val="40"/>
          <w:szCs w:val="40"/>
        </w:rPr>
        <w:t>附件3</w:t>
      </w:r>
    </w:p>
    <w:p w14:paraId="7F3C1AEF">
      <w:pPr>
        <w:spacing w:before="356" w:line="221" w:lineRule="auto"/>
        <w:ind w:left="4875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504040"/>
          <w:spacing w:val="24"/>
          <w:sz w:val="43"/>
          <w:szCs w:val="43"/>
        </w:rPr>
        <w:t>2026</w:t>
      </w:r>
      <w:r>
        <w:rPr>
          <w:rFonts w:ascii="黑体" w:hAnsi="黑体" w:eastAsia="黑体" w:cs="黑体"/>
          <w:color w:val="504040"/>
          <w:spacing w:val="-38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24"/>
          <w:sz w:val="43"/>
          <w:szCs w:val="43"/>
        </w:rPr>
        <w:t>年省级现代农事综合服务中心推荐汇总表</w:t>
      </w:r>
    </w:p>
    <w:p w14:paraId="4FE1F4F0">
      <w:pPr>
        <w:pStyle w:val="2"/>
        <w:spacing w:line="455" w:lineRule="auto"/>
      </w:pPr>
    </w:p>
    <w:p w14:paraId="6CA06B4C">
      <w:pPr>
        <w:spacing w:before="104" w:line="225" w:lineRule="auto"/>
        <w:ind w:left="745" w:firstLine="1328" w:firstLineChars="40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6"/>
          <w:sz w:val="32"/>
          <w:szCs w:val="32"/>
        </w:rPr>
        <w:t>推荐单位：</w:t>
      </w:r>
      <w:r>
        <w:rPr>
          <w:rFonts w:ascii="宋体" w:hAnsi="宋体" w:eastAsia="宋体" w:cs="宋体"/>
          <w:spacing w:val="1"/>
          <w:sz w:val="32"/>
          <w:szCs w:val="32"/>
          <w:u w:val="single" w:color="auto"/>
        </w:rPr>
        <w:t xml:space="preserve">  </w:t>
      </w:r>
      <w:r>
        <w:rPr>
          <w:rFonts w:ascii="宋体" w:hAnsi="宋体" w:eastAsia="宋体" w:cs="宋体"/>
          <w:spacing w:val="-147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11"/>
          <w:sz w:val="32"/>
          <w:szCs w:val="32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6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6"/>
          <w:sz w:val="32"/>
          <w:szCs w:val="32"/>
        </w:rPr>
        <w:t>(公章)</w:t>
      </w:r>
    </w:p>
    <w:p w14:paraId="1524F772">
      <w:pPr>
        <w:spacing w:line="14" w:lineRule="exact"/>
      </w:pPr>
    </w:p>
    <w:tbl>
      <w:tblPr>
        <w:tblStyle w:val="5"/>
        <w:tblpPr w:leftFromText="180" w:rightFromText="180" w:vertAnchor="text" w:horzAnchor="page" w:tblpX="1179" w:tblpY="177"/>
        <w:tblOverlap w:val="never"/>
        <w:tblW w:w="189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1209"/>
        <w:gridCol w:w="1489"/>
        <w:gridCol w:w="1829"/>
        <w:gridCol w:w="1519"/>
        <w:gridCol w:w="4710"/>
        <w:gridCol w:w="3285"/>
        <w:gridCol w:w="3019"/>
        <w:gridCol w:w="875"/>
      </w:tblGrid>
      <w:tr w14:paraId="61F75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1064" w:type="dxa"/>
            <w:vAlign w:val="top"/>
          </w:tcPr>
          <w:p w14:paraId="39AA9137">
            <w:pPr>
              <w:spacing w:line="359" w:lineRule="auto"/>
              <w:rPr>
                <w:rFonts w:ascii="Arial"/>
                <w:sz w:val="21"/>
              </w:rPr>
            </w:pPr>
          </w:p>
          <w:p w14:paraId="33DBF757">
            <w:pPr>
              <w:pStyle w:val="6"/>
              <w:spacing w:before="84" w:line="219" w:lineRule="auto"/>
              <w:ind w:left="38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市</w:t>
            </w:r>
          </w:p>
        </w:tc>
        <w:tc>
          <w:tcPr>
            <w:tcW w:w="1209" w:type="dxa"/>
            <w:vAlign w:val="top"/>
          </w:tcPr>
          <w:p w14:paraId="418945BF">
            <w:pPr>
              <w:spacing w:line="364" w:lineRule="auto"/>
              <w:rPr>
                <w:rFonts w:ascii="Arial"/>
                <w:sz w:val="21"/>
              </w:rPr>
            </w:pPr>
          </w:p>
          <w:p w14:paraId="7791A3B8">
            <w:pPr>
              <w:pStyle w:val="6"/>
              <w:spacing w:before="84" w:line="224" w:lineRule="auto"/>
              <w:ind w:left="4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县</w:t>
            </w:r>
          </w:p>
        </w:tc>
        <w:tc>
          <w:tcPr>
            <w:tcW w:w="1489" w:type="dxa"/>
            <w:vAlign w:val="top"/>
          </w:tcPr>
          <w:p w14:paraId="0DBBF3FA">
            <w:pPr>
              <w:spacing w:line="360" w:lineRule="auto"/>
              <w:rPr>
                <w:rFonts w:ascii="Arial"/>
                <w:sz w:val="21"/>
              </w:rPr>
            </w:pPr>
          </w:p>
          <w:p w14:paraId="584B04C4">
            <w:pPr>
              <w:pStyle w:val="6"/>
              <w:spacing w:before="84" w:line="221" w:lineRule="auto"/>
              <w:ind w:left="232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主体名称</w:t>
            </w:r>
          </w:p>
        </w:tc>
        <w:tc>
          <w:tcPr>
            <w:tcW w:w="1829" w:type="dxa"/>
            <w:vAlign w:val="top"/>
          </w:tcPr>
          <w:p w14:paraId="1215188F">
            <w:pPr>
              <w:pStyle w:val="6"/>
              <w:spacing w:before="225" w:line="219" w:lineRule="auto"/>
              <w:ind w:left="383"/>
              <w:rPr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投资规模</w:t>
            </w:r>
          </w:p>
          <w:p w14:paraId="03358102">
            <w:pPr>
              <w:pStyle w:val="6"/>
              <w:spacing w:before="131" w:line="219" w:lineRule="auto"/>
              <w:ind w:left="122"/>
              <w:rPr>
                <w:sz w:val="26"/>
                <w:szCs w:val="26"/>
              </w:rPr>
            </w:pPr>
            <w:r>
              <w:rPr>
                <w:spacing w:val="6"/>
                <w:sz w:val="26"/>
                <w:szCs w:val="26"/>
              </w:rPr>
              <w:t>(2024年以后)</w:t>
            </w:r>
          </w:p>
        </w:tc>
        <w:tc>
          <w:tcPr>
            <w:tcW w:w="1519" w:type="dxa"/>
            <w:vAlign w:val="top"/>
          </w:tcPr>
          <w:p w14:paraId="3E5797DE">
            <w:pPr>
              <w:spacing w:line="359" w:lineRule="auto"/>
              <w:rPr>
                <w:rFonts w:ascii="Arial"/>
                <w:sz w:val="21"/>
              </w:rPr>
            </w:pPr>
          </w:p>
          <w:p w14:paraId="49DD807B">
            <w:pPr>
              <w:pStyle w:val="6"/>
              <w:spacing w:before="84" w:line="219" w:lineRule="auto"/>
              <w:ind w:left="254"/>
              <w:rPr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申报档次</w:t>
            </w:r>
          </w:p>
        </w:tc>
        <w:tc>
          <w:tcPr>
            <w:tcW w:w="4710" w:type="dxa"/>
            <w:vAlign w:val="top"/>
          </w:tcPr>
          <w:p w14:paraId="43215BA9">
            <w:pPr>
              <w:pStyle w:val="6"/>
              <w:spacing w:before="226" w:line="220" w:lineRule="auto"/>
              <w:ind w:left="2025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已有基础</w:t>
            </w:r>
          </w:p>
          <w:p w14:paraId="2B52BE3D">
            <w:pPr>
              <w:pStyle w:val="6"/>
              <w:spacing w:before="99" w:line="219" w:lineRule="auto"/>
              <w:ind w:left="1315"/>
              <w:rPr>
                <w:sz w:val="26"/>
                <w:szCs w:val="26"/>
              </w:rPr>
            </w:pPr>
            <w:r>
              <w:rPr>
                <w:spacing w:val="4"/>
                <w:sz w:val="26"/>
                <w:szCs w:val="26"/>
              </w:rPr>
              <w:t>(条目式，200字左右)</w:t>
            </w:r>
          </w:p>
        </w:tc>
        <w:tc>
          <w:tcPr>
            <w:tcW w:w="3285" w:type="dxa"/>
            <w:vAlign w:val="top"/>
          </w:tcPr>
          <w:p w14:paraId="74C888A8">
            <w:pPr>
              <w:pStyle w:val="6"/>
              <w:spacing w:before="225" w:line="219" w:lineRule="auto"/>
              <w:ind w:left="1158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建设内容</w:t>
            </w:r>
          </w:p>
          <w:p w14:paraId="537BEDFD">
            <w:pPr>
              <w:pStyle w:val="6"/>
              <w:spacing w:before="101" w:line="219" w:lineRule="auto"/>
              <w:ind w:left="437"/>
              <w:rPr>
                <w:sz w:val="26"/>
                <w:szCs w:val="26"/>
              </w:rPr>
            </w:pPr>
            <w:r>
              <w:rPr>
                <w:spacing w:val="4"/>
                <w:sz w:val="26"/>
                <w:szCs w:val="26"/>
              </w:rPr>
              <w:t>(条目式，200字左右)</w:t>
            </w:r>
          </w:p>
        </w:tc>
        <w:tc>
          <w:tcPr>
            <w:tcW w:w="3019" w:type="dxa"/>
            <w:vAlign w:val="top"/>
          </w:tcPr>
          <w:p w14:paraId="46D5FE7D">
            <w:pPr>
              <w:pStyle w:val="6"/>
              <w:spacing w:before="225" w:line="219" w:lineRule="auto"/>
              <w:ind w:left="489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新增服务能力</w:t>
            </w:r>
          </w:p>
          <w:p w14:paraId="269D2677">
            <w:pPr>
              <w:pStyle w:val="6"/>
              <w:spacing w:before="101" w:line="219" w:lineRule="auto"/>
              <w:jc w:val="right"/>
              <w:rPr>
                <w:sz w:val="26"/>
                <w:szCs w:val="26"/>
              </w:rPr>
            </w:pPr>
            <w:r>
              <w:rPr>
                <w:spacing w:val="-24"/>
                <w:sz w:val="26"/>
                <w:szCs w:val="26"/>
              </w:rPr>
              <w:t>(</w:t>
            </w:r>
            <w:r>
              <w:rPr>
                <w:spacing w:val="-56"/>
                <w:sz w:val="26"/>
                <w:szCs w:val="26"/>
              </w:rPr>
              <w:t xml:space="preserve"> </w:t>
            </w:r>
            <w:r>
              <w:rPr>
                <w:spacing w:val="-24"/>
                <w:sz w:val="26"/>
                <w:szCs w:val="26"/>
              </w:rPr>
              <w:t>条 目</w:t>
            </w:r>
            <w:r>
              <w:rPr>
                <w:spacing w:val="-54"/>
                <w:sz w:val="26"/>
                <w:szCs w:val="26"/>
              </w:rPr>
              <w:t xml:space="preserve"> </w:t>
            </w:r>
            <w:r>
              <w:rPr>
                <w:spacing w:val="-24"/>
                <w:sz w:val="26"/>
                <w:szCs w:val="26"/>
              </w:rPr>
              <w:t>式</w:t>
            </w:r>
            <w:r>
              <w:rPr>
                <w:spacing w:val="-71"/>
                <w:sz w:val="26"/>
                <w:szCs w:val="26"/>
              </w:rPr>
              <w:t xml:space="preserve"> </w:t>
            </w:r>
            <w:r>
              <w:rPr>
                <w:spacing w:val="-24"/>
                <w:sz w:val="26"/>
                <w:szCs w:val="26"/>
              </w:rPr>
              <w:t>，</w:t>
            </w:r>
            <w:r>
              <w:rPr>
                <w:color w:val="404040"/>
                <w:spacing w:val="-24"/>
                <w:sz w:val="26"/>
                <w:szCs w:val="26"/>
              </w:rPr>
              <w:t>200</w:t>
            </w:r>
            <w:r>
              <w:rPr>
                <w:spacing w:val="-24"/>
                <w:sz w:val="26"/>
                <w:szCs w:val="26"/>
              </w:rPr>
              <w:t>字左右)</w:t>
            </w:r>
          </w:p>
        </w:tc>
        <w:tc>
          <w:tcPr>
            <w:tcW w:w="875" w:type="dxa"/>
            <w:vAlign w:val="top"/>
          </w:tcPr>
          <w:p w14:paraId="66E10295">
            <w:pPr>
              <w:spacing w:line="360" w:lineRule="auto"/>
              <w:rPr>
                <w:rFonts w:ascii="Arial"/>
                <w:sz w:val="21"/>
              </w:rPr>
            </w:pPr>
          </w:p>
          <w:p w14:paraId="4E49A266">
            <w:pPr>
              <w:pStyle w:val="6"/>
              <w:spacing w:before="84" w:line="221" w:lineRule="auto"/>
              <w:ind w:left="191"/>
              <w:rPr>
                <w:sz w:val="26"/>
                <w:szCs w:val="26"/>
              </w:rPr>
            </w:pPr>
            <w:r>
              <w:rPr>
                <w:spacing w:val="6"/>
                <w:sz w:val="26"/>
                <w:szCs w:val="26"/>
              </w:rPr>
              <w:t>备注</w:t>
            </w:r>
          </w:p>
        </w:tc>
      </w:tr>
      <w:tr w14:paraId="239C2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4" w:type="dxa"/>
            <w:vMerge w:val="restart"/>
            <w:tcBorders>
              <w:bottom w:val="nil"/>
            </w:tcBorders>
            <w:vAlign w:val="center"/>
          </w:tcPr>
          <w:p w14:paraId="4F2CB6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永州市</w:t>
            </w:r>
          </w:p>
        </w:tc>
        <w:tc>
          <w:tcPr>
            <w:tcW w:w="1209" w:type="dxa"/>
            <w:vAlign w:val="center"/>
          </w:tcPr>
          <w:p w14:paraId="156989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江永县</w:t>
            </w:r>
          </w:p>
        </w:tc>
        <w:tc>
          <w:tcPr>
            <w:tcW w:w="1489" w:type="dxa"/>
            <w:vAlign w:val="center"/>
          </w:tcPr>
          <w:p w14:paraId="521D0C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江永县耕耘农机农民专业合作社</w:t>
            </w:r>
          </w:p>
        </w:tc>
        <w:tc>
          <w:tcPr>
            <w:tcW w:w="1829" w:type="dxa"/>
            <w:vAlign w:val="center"/>
          </w:tcPr>
          <w:p w14:paraId="43D2FF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2024年以来有效新增投资443.32 万元</w:t>
            </w:r>
          </w:p>
        </w:tc>
        <w:tc>
          <w:tcPr>
            <w:tcW w:w="1519" w:type="dxa"/>
            <w:vAlign w:val="center"/>
          </w:tcPr>
          <w:p w14:paraId="5F7E61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省级小型农事服务中心</w:t>
            </w:r>
          </w:p>
        </w:tc>
        <w:tc>
          <w:tcPr>
            <w:tcW w:w="4710" w:type="dxa"/>
            <w:vAlign w:val="center"/>
          </w:tcPr>
          <w:p w14:paraId="1B72C6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合作社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注册于2018年11月，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扎根丘陵山区，自有场地23345㎡，库棚建筑18228㎡，育秧、烘干、机库棚等设施齐全，实行错峰复用；拥有农机78台，原值455.47万元，批次烘干能力40吨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配齐配全了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大型拖拉机、收割机、高速插（抛）秧机、 机械化育秧设施、烘干机等大型机械设施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近三年内购置农机原值326.64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应急救灾机具原值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90.86万元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。现有20人本土化服务队伍，可开展农机维修。2024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2025年农事服务面积分别6920.5亩、5897.7亩，覆盖3个乡镇22个村，建立农机应急队伍，与县级农业农村部门建立应急联动，连续三年盈利，无申报否决项。</w:t>
            </w:r>
          </w:p>
        </w:tc>
        <w:tc>
          <w:tcPr>
            <w:tcW w:w="3285" w:type="dxa"/>
            <w:vAlign w:val="center"/>
          </w:tcPr>
          <w:p w14:paraId="775DA6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依托现有场地不搞大规模土建，奖补资金精准补齐装备短板。投入68.5万元购置履带式拖拉机3台、高速水稻插秧机3台、带驾驶室履带联合收割机1台；投入21.5万元购置农业无人机2台；投入10.0万元购置5T 移动烘干机2台、农用水泵10台，强化耕种收、飞防植保、平急两用应急救灾装备，完善配套机具维修保障条件。</w:t>
            </w:r>
          </w:p>
        </w:tc>
        <w:tc>
          <w:tcPr>
            <w:tcW w:w="3019" w:type="dxa"/>
            <w:vAlign w:val="center"/>
          </w:tcPr>
          <w:p w14:paraId="772073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项目实施后，新增农事服务面积3150亩，新增水稻机插机抛1500亩，新增油菜机械播栽500亩，新增飞防作业面积1000亩；新增单批次育秧能力150亩，批次烘干能力增加10吨，年培训能力增加50人次。服务带动小农户2500 户以上，跨乡镇农机作业近 1万亩，完善山区粮油生产全链条托管服务，提升区域应急救灾保障水平。</w:t>
            </w:r>
          </w:p>
        </w:tc>
        <w:tc>
          <w:tcPr>
            <w:tcW w:w="875" w:type="dxa"/>
            <w:vAlign w:val="top"/>
          </w:tcPr>
          <w:p w14:paraId="1B38E43F">
            <w:pPr>
              <w:rPr>
                <w:rFonts w:ascii="Arial"/>
                <w:sz w:val="21"/>
              </w:rPr>
            </w:pPr>
          </w:p>
        </w:tc>
      </w:tr>
      <w:tr w14:paraId="22CB9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vAlign w:val="top"/>
          </w:tcPr>
          <w:p w14:paraId="3FB2B3F7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52200F2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江永县</w:t>
            </w:r>
          </w:p>
        </w:tc>
        <w:tc>
          <w:tcPr>
            <w:tcW w:w="1489" w:type="dxa"/>
            <w:vAlign w:val="top"/>
          </w:tcPr>
          <w:p w14:paraId="53E6953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湖南义华农业科技发展股份有限公司</w:t>
            </w:r>
          </w:p>
        </w:tc>
        <w:tc>
          <w:tcPr>
            <w:tcW w:w="1829" w:type="dxa"/>
            <w:vAlign w:val="top"/>
          </w:tcPr>
          <w:p w14:paraId="62CE2F9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2024年以来有效新增投资968.08万元</w:t>
            </w:r>
          </w:p>
        </w:tc>
        <w:tc>
          <w:tcPr>
            <w:tcW w:w="1519" w:type="dxa"/>
            <w:vAlign w:val="top"/>
          </w:tcPr>
          <w:p w14:paraId="51FD172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型农事服务中心</w:t>
            </w:r>
          </w:p>
        </w:tc>
        <w:tc>
          <w:tcPr>
            <w:tcW w:w="4710" w:type="dxa"/>
            <w:vAlign w:val="top"/>
          </w:tcPr>
          <w:p w14:paraId="64205E9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公司注册于2005年4月，位于江永县潇浦镇，山区地形。总占地35152.8㎡，库棚等27240㎡，含育秧车间826㎡、暗室320㎡、标准大棚20480㎡、机库棚1420㎡、维修区260㎡、烘干机房1500㎡、暂存区630㎡、秸秆储存区2200㎡、培训教室100㎡；2024年以来新建设施18100㎡。农机保有量91台，原值899.99万元，2024年以来新购79台，原值866.87万元。2025年农事服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41735.4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亩，水稻机插机抛1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711亩，油菜播栽12052亩，飞防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15972.4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亩，单批育秧2048亩，批次烘干160吨，年秸秆处理5590亩，年培训150人次。现有20人服务队伍，可提供农机维修、代烘干、秸秆收储、集采配送等。未获省级100万元奖补。</w:t>
            </w:r>
          </w:p>
        </w:tc>
        <w:tc>
          <w:tcPr>
            <w:tcW w:w="3285" w:type="dxa"/>
            <w:vAlign w:val="top"/>
          </w:tcPr>
          <w:p w14:paraId="528A2CE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依托现有场地，精准补齐育秧、烘干、秸秆利用、培训等短板投入54万元新建标准化钢架大棚4500㎡，含喷淋、水肥一体化、物联网；投入40万元购置高速插秧机4台；投入46万元购置烘干机2台、生物质颗粒炉2台；投入150万元购置秸秆综合利用成套设备1套（拆包机、粉碎机、上料机、风选机、液压打包机、除尘、制肥、制粒等）及辅助设备1套（夹包机、抓草机、叉车、运输车辆等）；投入10万元改建技术培训室200㎡，配套培训设施；完善机具存放维修保养及应急救灾装备。</w:t>
            </w:r>
          </w:p>
        </w:tc>
        <w:tc>
          <w:tcPr>
            <w:tcW w:w="3019" w:type="dxa"/>
            <w:vAlign w:val="top"/>
          </w:tcPr>
          <w:p w14:paraId="384A068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新增农事服务面积8200亩，新增水稻机插机抛3200亩，新增单批次育秧能力400亩，新增批次烘干能力40吨，新增年秸秆处理能力5000亩，新增年培训能力50人次。建成后以江永县上江圩义华育秧工厂为中心，形成三级服务网，核心圈为上江圩、潇浦及公司流转托管基地，紧密圈覆盖夏层铺、千家峒、松柏等46个行政村，辐射圈延伸至道县、江华、回龙圩等周边县区。年农事服务总面积40000亩以上，联结农户5000户以上，带动户均增收600元以上。</w:t>
            </w:r>
          </w:p>
        </w:tc>
        <w:tc>
          <w:tcPr>
            <w:tcW w:w="875" w:type="dxa"/>
            <w:vAlign w:val="top"/>
          </w:tcPr>
          <w:p w14:paraId="71A23CF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8B7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vAlign w:val="top"/>
          </w:tcPr>
          <w:p w14:paraId="7EA55E03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23333D4B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Align w:val="top"/>
          </w:tcPr>
          <w:p w14:paraId="096603B3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 w14:paraId="12BCAC30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 w14:paraId="32B80A04">
            <w:pPr>
              <w:rPr>
                <w:rFonts w:ascii="Arial"/>
                <w:sz w:val="21"/>
              </w:rPr>
            </w:pPr>
          </w:p>
        </w:tc>
        <w:tc>
          <w:tcPr>
            <w:tcW w:w="4710" w:type="dxa"/>
            <w:vAlign w:val="top"/>
          </w:tcPr>
          <w:p w14:paraId="49488AA0">
            <w:pPr>
              <w:rPr>
                <w:rFonts w:ascii="Arial"/>
                <w:sz w:val="21"/>
              </w:rPr>
            </w:pPr>
          </w:p>
        </w:tc>
        <w:tc>
          <w:tcPr>
            <w:tcW w:w="3285" w:type="dxa"/>
            <w:vAlign w:val="top"/>
          </w:tcPr>
          <w:p w14:paraId="727EC598">
            <w:pPr>
              <w:rPr>
                <w:rFonts w:ascii="Arial"/>
                <w:sz w:val="21"/>
              </w:rPr>
            </w:pPr>
          </w:p>
        </w:tc>
        <w:tc>
          <w:tcPr>
            <w:tcW w:w="3019" w:type="dxa"/>
            <w:vAlign w:val="top"/>
          </w:tcPr>
          <w:p w14:paraId="2F82288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870563D">
            <w:pPr>
              <w:rPr>
                <w:rFonts w:ascii="Arial"/>
                <w:sz w:val="21"/>
              </w:rPr>
            </w:pPr>
          </w:p>
        </w:tc>
      </w:tr>
      <w:tr w14:paraId="75737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vAlign w:val="top"/>
          </w:tcPr>
          <w:p w14:paraId="1FCE10EC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7B61BE03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Align w:val="top"/>
          </w:tcPr>
          <w:p w14:paraId="1C631A3F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 w14:paraId="74E9D334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 w14:paraId="5F5B61A0">
            <w:pPr>
              <w:rPr>
                <w:rFonts w:ascii="Arial"/>
                <w:sz w:val="21"/>
              </w:rPr>
            </w:pPr>
          </w:p>
        </w:tc>
        <w:tc>
          <w:tcPr>
            <w:tcW w:w="4710" w:type="dxa"/>
            <w:vAlign w:val="top"/>
          </w:tcPr>
          <w:p w14:paraId="7D3E0BE7">
            <w:pPr>
              <w:rPr>
                <w:rFonts w:ascii="Arial"/>
                <w:sz w:val="21"/>
              </w:rPr>
            </w:pPr>
          </w:p>
        </w:tc>
        <w:tc>
          <w:tcPr>
            <w:tcW w:w="3285" w:type="dxa"/>
            <w:vAlign w:val="top"/>
          </w:tcPr>
          <w:p w14:paraId="4EDBFD80">
            <w:pPr>
              <w:rPr>
                <w:rFonts w:ascii="Arial"/>
                <w:sz w:val="21"/>
              </w:rPr>
            </w:pPr>
          </w:p>
        </w:tc>
        <w:tc>
          <w:tcPr>
            <w:tcW w:w="3019" w:type="dxa"/>
            <w:vAlign w:val="top"/>
          </w:tcPr>
          <w:p w14:paraId="538D26A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559204C">
            <w:pPr>
              <w:rPr>
                <w:rFonts w:ascii="Arial"/>
                <w:sz w:val="21"/>
              </w:rPr>
            </w:pPr>
          </w:p>
        </w:tc>
      </w:tr>
      <w:tr w14:paraId="45C1D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vAlign w:val="top"/>
          </w:tcPr>
          <w:p w14:paraId="3E1D2484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4702DA4C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Align w:val="top"/>
          </w:tcPr>
          <w:p w14:paraId="63969852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 w14:paraId="4583EC61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 w14:paraId="748BCBF8">
            <w:pPr>
              <w:rPr>
                <w:rFonts w:ascii="Arial"/>
                <w:sz w:val="21"/>
              </w:rPr>
            </w:pPr>
          </w:p>
        </w:tc>
        <w:tc>
          <w:tcPr>
            <w:tcW w:w="4710" w:type="dxa"/>
            <w:vAlign w:val="top"/>
          </w:tcPr>
          <w:p w14:paraId="4F8584AA">
            <w:pPr>
              <w:rPr>
                <w:rFonts w:ascii="Arial"/>
                <w:sz w:val="21"/>
              </w:rPr>
            </w:pPr>
          </w:p>
        </w:tc>
        <w:tc>
          <w:tcPr>
            <w:tcW w:w="3285" w:type="dxa"/>
            <w:vAlign w:val="top"/>
          </w:tcPr>
          <w:p w14:paraId="3001FD75">
            <w:pPr>
              <w:rPr>
                <w:rFonts w:ascii="Arial"/>
                <w:sz w:val="21"/>
              </w:rPr>
            </w:pPr>
          </w:p>
        </w:tc>
        <w:tc>
          <w:tcPr>
            <w:tcW w:w="3019" w:type="dxa"/>
            <w:vAlign w:val="top"/>
          </w:tcPr>
          <w:p w14:paraId="1D73403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9406607">
            <w:pPr>
              <w:rPr>
                <w:rFonts w:ascii="Arial"/>
                <w:sz w:val="21"/>
              </w:rPr>
            </w:pPr>
          </w:p>
        </w:tc>
      </w:tr>
      <w:tr w14:paraId="0479B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vAlign w:val="top"/>
          </w:tcPr>
          <w:p w14:paraId="31BA33EC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020F1932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Align w:val="top"/>
          </w:tcPr>
          <w:p w14:paraId="346E16F0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 w14:paraId="55DFAF29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 w14:paraId="51280F87">
            <w:pPr>
              <w:rPr>
                <w:rFonts w:ascii="Arial"/>
                <w:sz w:val="21"/>
              </w:rPr>
            </w:pPr>
          </w:p>
        </w:tc>
        <w:tc>
          <w:tcPr>
            <w:tcW w:w="4710" w:type="dxa"/>
            <w:vAlign w:val="top"/>
          </w:tcPr>
          <w:p w14:paraId="05E1077B">
            <w:pPr>
              <w:rPr>
                <w:rFonts w:ascii="Arial"/>
                <w:sz w:val="21"/>
              </w:rPr>
            </w:pPr>
          </w:p>
        </w:tc>
        <w:tc>
          <w:tcPr>
            <w:tcW w:w="3285" w:type="dxa"/>
            <w:vAlign w:val="top"/>
          </w:tcPr>
          <w:p w14:paraId="63983B8F">
            <w:pPr>
              <w:rPr>
                <w:rFonts w:ascii="Arial"/>
                <w:sz w:val="21"/>
              </w:rPr>
            </w:pPr>
          </w:p>
        </w:tc>
        <w:tc>
          <w:tcPr>
            <w:tcW w:w="3019" w:type="dxa"/>
            <w:vAlign w:val="top"/>
          </w:tcPr>
          <w:p w14:paraId="162072D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CCD8F47">
            <w:pPr>
              <w:rPr>
                <w:rFonts w:ascii="Arial"/>
                <w:sz w:val="21"/>
              </w:rPr>
            </w:pPr>
          </w:p>
        </w:tc>
      </w:tr>
      <w:tr w14:paraId="63605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064" w:type="dxa"/>
            <w:vMerge w:val="continue"/>
            <w:tcBorders>
              <w:top w:val="nil"/>
            </w:tcBorders>
            <w:vAlign w:val="top"/>
          </w:tcPr>
          <w:p w14:paraId="2099777A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 w14:paraId="50307A40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Align w:val="top"/>
          </w:tcPr>
          <w:p w14:paraId="55555FDB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 w14:paraId="26E5BA9A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 w14:paraId="7B2D7E2A">
            <w:pPr>
              <w:rPr>
                <w:rFonts w:ascii="Arial"/>
                <w:sz w:val="21"/>
              </w:rPr>
            </w:pPr>
          </w:p>
        </w:tc>
        <w:tc>
          <w:tcPr>
            <w:tcW w:w="4710" w:type="dxa"/>
            <w:vAlign w:val="top"/>
          </w:tcPr>
          <w:p w14:paraId="4F008650">
            <w:pPr>
              <w:rPr>
                <w:rFonts w:ascii="Arial"/>
                <w:sz w:val="21"/>
              </w:rPr>
            </w:pPr>
          </w:p>
        </w:tc>
        <w:tc>
          <w:tcPr>
            <w:tcW w:w="3285" w:type="dxa"/>
            <w:vAlign w:val="top"/>
          </w:tcPr>
          <w:p w14:paraId="7D9A6651">
            <w:pPr>
              <w:rPr>
                <w:rFonts w:ascii="Arial"/>
                <w:sz w:val="21"/>
              </w:rPr>
            </w:pPr>
          </w:p>
        </w:tc>
        <w:tc>
          <w:tcPr>
            <w:tcW w:w="3019" w:type="dxa"/>
            <w:vAlign w:val="top"/>
          </w:tcPr>
          <w:p w14:paraId="346D522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68EC469E">
            <w:pPr>
              <w:rPr>
                <w:rFonts w:ascii="Arial"/>
                <w:sz w:val="21"/>
              </w:rPr>
            </w:pPr>
          </w:p>
        </w:tc>
      </w:tr>
    </w:tbl>
    <w:p w14:paraId="73A9C4DB">
      <w:pPr>
        <w:spacing w:before="236" w:line="224" w:lineRule="auto"/>
        <w:ind w:left="1005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1"/>
          <w:sz w:val="34"/>
          <w:szCs w:val="34"/>
        </w:rPr>
        <w:t>联系人：</w:t>
      </w:r>
      <w:r>
        <w:rPr>
          <w:rFonts w:ascii="黑体" w:hAnsi="黑体" w:eastAsia="黑体" w:cs="黑体"/>
          <w:spacing w:val="3"/>
          <w:sz w:val="34"/>
          <w:szCs w:val="34"/>
        </w:rPr>
        <w:t xml:space="preserve">                   </w:t>
      </w:r>
      <w:r>
        <w:rPr>
          <w:rFonts w:ascii="黑体" w:hAnsi="黑体" w:eastAsia="黑体" w:cs="黑体"/>
          <w:spacing w:val="-1"/>
          <w:sz w:val="34"/>
          <w:szCs w:val="34"/>
        </w:rPr>
        <w:t>电话：</w:t>
      </w:r>
    </w:p>
    <w:p w14:paraId="5FE10ED7">
      <w:pPr>
        <w:spacing w:before="121" w:line="219" w:lineRule="auto"/>
        <w:ind w:left="2025"/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2"/>
          <w:sz w:val="34"/>
          <w:szCs w:val="34"/>
        </w:rPr>
        <w:t>备注：申报档次填</w:t>
      </w:r>
      <w:r>
        <w:rPr>
          <w:rFonts w:hint="eastAsia" w:ascii="黑体" w:hAnsi="黑体" w:eastAsia="黑体" w:cs="黑体"/>
          <w:spacing w:val="2"/>
          <w:sz w:val="32"/>
          <w:szCs w:val="32"/>
        </w:rPr>
        <w:t>联系人:</w:t>
      </w: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</w:rPr>
        <w:t xml:space="preserve">                         电话：</w:t>
      </w:r>
    </w:p>
    <w:p w14:paraId="49C27245">
      <w:pPr>
        <w:spacing w:before="121" w:line="219" w:lineRule="auto"/>
        <w:ind w:left="2025"/>
        <w:rPr>
          <w:rFonts w:hint="eastAsia" w:ascii="黑体" w:hAnsi="黑体" w:eastAsia="黑体" w:cs="黑体"/>
          <w:spacing w:val="2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备注:申报档次填写“省级大、中型农事服务中心"或”省级小型农事服务中心”;服务覆盖面积按耕地面积算，同</w:t>
      </w:r>
    </w:p>
    <w:p w14:paraId="0070D14E">
      <w:pPr>
        <w:spacing w:before="121" w:line="219" w:lineRule="auto"/>
        <w:ind w:left="2025"/>
        <w:rPr>
          <w:rFonts w:ascii="宋体" w:hAnsi="宋体" w:eastAsia="宋体" w:cs="宋体"/>
          <w:sz w:val="32"/>
          <w:szCs w:val="32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一地块多个环节的服务不累加，同一地块双季的服务不重复计。</w:t>
      </w:r>
    </w:p>
    <w:sectPr>
      <w:footerReference r:id="rId5" w:type="default"/>
      <w:pgSz w:w="22440" w:h="15860" w:orient="landscape"/>
      <w:pgMar w:top="479" w:right="1907" w:bottom="490" w:left="519" w:header="0" w:footer="51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AFEDA">
    <w:pPr>
      <w:pStyle w:val="2"/>
      <w:spacing w:line="103" w:lineRule="auto"/>
      <w:rPr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304165</wp:posOffset>
          </wp:positionH>
          <wp:positionV relativeFrom="page">
            <wp:posOffset>13919200</wp:posOffset>
          </wp:positionV>
          <wp:extent cx="9455150" cy="635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5515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jMwMTJjYzI2MWYxNzY1OGIzNzUxYjljN2ZkZWI4ZTAifQ=="/>
  </w:docVars>
  <w:rsids>
    <w:rsidRoot w:val="00000000"/>
    <w:rsid w:val="07A865A1"/>
    <w:rsid w:val="212D0F9A"/>
    <w:rsid w:val="237932AB"/>
    <w:rsid w:val="345B3CF8"/>
    <w:rsid w:val="66E87261"/>
    <w:rsid w:val="779619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1435</Words>
  <Characters>1662</Characters>
  <TotalTime>4</TotalTime>
  <ScaleCrop>false</ScaleCrop>
  <LinksUpToDate>false</LinksUpToDate>
  <CharactersWithSpaces>1735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2026-09-21T10:44:00Z</dcterms:created>
  <dc:creator>Administrator</dc:creator>
  <cp:lastModifiedBy>江永农业委何辉平</cp:lastModifiedBy>
  <dcterms:modified xsi:type="dcterms:W3CDTF">2026-09-29T04:48:10Z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2026-09-21T10:44:27Z</vt:filetime>
  </property>
  <property fmtid="{D5CDD505-2E9C-101B-9397-08002B2CF9AE}" pid="4" name="UsrData">
    <vt:lpwstr>6ab09a067ffffe001fd69546wl</vt:lpwstr>
  </property>
  <property fmtid="{D5CDD505-2E9C-101B-9397-08002B2CF9AE}" pid="5" name="KSOProductBuildVer">
    <vt:lpwstr>2052-12.1.0.28505</vt:lpwstr>
  </property>
  <property fmtid="{D5CDD505-2E9C-101B-9397-08002B2CF9AE}" pid="6" name="ICV">
    <vt:lpwstr>B8D42E03C7834F57A5FC4E559A86A2E5_13</vt:lpwstr>
  </property>
  <property fmtid="{D5CDD505-2E9C-101B-9397-08002B2CF9AE}" pid="7" name="KSOTemplateDocerSaveRecord">
    <vt:lpwstr>eyJoZGlkIjoiOTMwNWNlNjk4NWJiNDI5MzMyYjM0Njc3YjE4MDIxMzciLCJ1c2VySWQiOiIzNjY4NTIyMTgifQ==</vt:lpwstr>
  </property>
</Properties>
</file>