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p>
    <w:p>
      <w:pPr>
        <w:pStyle w:val="2"/>
      </w:pPr>
    </w:p>
    <w:p>
      <w:pPr>
        <w:jc w:val="center"/>
        <w:rPr>
          <w:rFonts w:hint="eastAsia" w:ascii="宋体" w:hAnsi="宋体" w:cs="宋体"/>
          <w:sz w:val="48"/>
          <w:szCs w:val="48"/>
          <w:lang w:eastAsia="zh-CN"/>
        </w:rPr>
      </w:pPr>
      <w:r>
        <w:rPr>
          <w:rFonts w:hint="eastAsia" w:ascii="宋体" w:hAnsi="宋体" w:eastAsia="宋体" w:cs="宋体"/>
          <w:sz w:val="48"/>
          <w:szCs w:val="48"/>
          <w:lang w:eastAsia="zh-CN"/>
        </w:rPr>
        <w:t>202</w:t>
      </w:r>
      <w:r>
        <w:rPr>
          <w:rFonts w:hint="eastAsia" w:ascii="宋体" w:hAnsi="宋体" w:cs="宋体"/>
          <w:sz w:val="48"/>
          <w:szCs w:val="48"/>
          <w:lang w:val="en-US" w:eastAsia="zh-CN"/>
        </w:rPr>
        <w:t>1</w:t>
      </w:r>
      <w:r>
        <w:rPr>
          <w:rFonts w:hint="eastAsia" w:ascii="宋体" w:hAnsi="宋体" w:eastAsia="宋体" w:cs="宋体"/>
          <w:sz w:val="48"/>
          <w:szCs w:val="48"/>
        </w:rPr>
        <w:t>年度</w:t>
      </w:r>
      <w:r>
        <w:rPr>
          <w:rFonts w:hint="eastAsia" w:ascii="宋体" w:hAnsi="宋体" w:eastAsia="宋体" w:cs="宋体"/>
          <w:sz w:val="48"/>
          <w:szCs w:val="48"/>
          <w:lang w:eastAsia="zh-CN"/>
        </w:rPr>
        <w:t>江永县</w:t>
      </w:r>
      <w:r>
        <w:rPr>
          <w:rFonts w:hint="eastAsia" w:ascii="宋体" w:hAnsi="宋体" w:cs="宋体"/>
          <w:sz w:val="48"/>
          <w:szCs w:val="48"/>
          <w:lang w:eastAsia="zh-CN"/>
        </w:rPr>
        <w:t>科技和工业信息化局</w:t>
      </w:r>
    </w:p>
    <w:p>
      <w:pPr>
        <w:jc w:val="center"/>
        <w:rPr>
          <w:rFonts w:hint="eastAsia" w:ascii="宋体" w:hAnsi="宋体" w:eastAsia="宋体" w:cs="宋体"/>
          <w:sz w:val="48"/>
          <w:szCs w:val="48"/>
        </w:rPr>
      </w:pPr>
      <w:r>
        <w:rPr>
          <w:rFonts w:hint="eastAsia" w:ascii="宋体" w:hAnsi="宋体" w:eastAsia="宋体" w:cs="宋体"/>
          <w:sz w:val="48"/>
          <w:szCs w:val="48"/>
        </w:rPr>
        <w:t>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p>
    <w:p>
      <w:pPr>
        <w:ind w:firstLine="720" w:firstLineChars="200"/>
        <w:jc w:val="both"/>
        <w:rPr>
          <w:rFonts w:eastAsia="黑体"/>
          <w:sz w:val="36"/>
          <w:szCs w:val="36"/>
        </w:rPr>
      </w:pPr>
    </w:p>
    <w:p>
      <w:pPr>
        <w:ind w:firstLine="720" w:firstLineChars="200"/>
        <w:jc w:val="both"/>
        <w:rPr>
          <w:rFonts w:eastAsia="黑体"/>
          <w:sz w:val="36"/>
          <w:szCs w:val="36"/>
        </w:rPr>
      </w:pPr>
    </w:p>
    <w:p>
      <w:pPr>
        <w:ind w:firstLine="720" w:firstLineChars="200"/>
        <w:jc w:val="both"/>
        <w:rPr>
          <w:rFonts w:eastAsia="黑体"/>
          <w:sz w:val="36"/>
          <w:szCs w:val="36"/>
        </w:rPr>
      </w:pPr>
    </w:p>
    <w:p>
      <w:pPr>
        <w:ind w:firstLine="1080" w:firstLineChars="300"/>
        <w:jc w:val="both"/>
        <w:rPr>
          <w:rFonts w:hint="eastAsia" w:eastAsia="黑体"/>
          <w:sz w:val="36"/>
          <w:szCs w:val="36"/>
          <w:lang w:eastAsia="zh-CN"/>
        </w:rPr>
      </w:pPr>
      <w:r>
        <w:rPr>
          <w:rFonts w:eastAsia="黑体"/>
          <w:sz w:val="36"/>
          <w:szCs w:val="36"/>
        </w:rPr>
        <w:t>单位名称（盖章）：</w:t>
      </w:r>
      <w:r>
        <w:rPr>
          <w:rFonts w:hint="eastAsia" w:eastAsia="黑体"/>
          <w:sz w:val="36"/>
          <w:szCs w:val="36"/>
          <w:lang w:eastAsia="zh-CN"/>
        </w:rPr>
        <w:t>江永县科技和工业信息化局</w:t>
      </w:r>
    </w:p>
    <w:p>
      <w:pPr>
        <w:jc w:val="center"/>
        <w:rPr>
          <w:rFonts w:eastAsia="黑体"/>
          <w:sz w:val="36"/>
          <w:szCs w:val="36"/>
        </w:rPr>
      </w:pPr>
    </w:p>
    <w:p>
      <w:pPr>
        <w:jc w:val="center"/>
        <w:rPr>
          <w:rFonts w:eastAsia="黑体"/>
          <w:sz w:val="32"/>
          <w:szCs w:val="32"/>
        </w:rPr>
      </w:pPr>
    </w:p>
    <w:p>
      <w:pPr>
        <w:keepNext w:val="0"/>
        <w:keepLines w:val="0"/>
        <w:pageBreakBefore w:val="0"/>
        <w:widowControl/>
        <w:kinsoku/>
        <w:wordWrap/>
        <w:overflowPunct/>
        <w:topLinePunct w:val="0"/>
        <w:autoSpaceDN/>
        <w:bidi w:val="0"/>
        <w:adjustRightInd/>
        <w:snapToGrid/>
        <w:spacing w:line="560" w:lineRule="exact"/>
        <w:textAlignment w:val="auto"/>
        <w:rPr>
          <w:rFonts w:hint="eastAsia" w:eastAsia="仿宋_GB2312"/>
          <w:sz w:val="32"/>
          <w:szCs w:val="32"/>
        </w:rPr>
      </w:pPr>
      <w:r>
        <w:rPr>
          <w:rFonts w:eastAsia="仿宋_GB2312"/>
          <w:sz w:val="32"/>
          <w:szCs w:val="32"/>
        </w:rPr>
        <w:br w:type="page"/>
      </w:r>
      <w:r>
        <w:rPr>
          <w:rFonts w:hint="eastAsia" w:eastAsia="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一、基本情况</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（一）部门（单位）基本情况</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eastAsia="仿宋_GB2312"/>
          <w:b/>
          <w:bCs/>
          <w:sz w:val="32"/>
          <w:szCs w:val="32"/>
        </w:rPr>
      </w:pPr>
      <w:r>
        <w:rPr>
          <w:rFonts w:hint="eastAsia" w:eastAsia="仿宋_GB2312"/>
          <w:b/>
          <w:bCs/>
          <w:sz w:val="32"/>
          <w:szCs w:val="32"/>
        </w:rPr>
        <w:t>1、职能职责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1</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责全县工业经济的日常运行调节，编制并组织实施近期工业经济运行调控目标、政策和措施；监测分析近期工业经济运行态势，统计并发布相关信息，进行预测预警和信息引导，协调解决经济运行中的突出矛盾和问题并提出政策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2</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）拟订全县新型工业化的发展战略、规划和相关政策措施并组织实施，协调解决有关重大问题；综合管理全县工业经济，指导、协调和服务工业企业；推进信息化和工业化融合；推进全县国民经济和社会信息化。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3</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）拟订并组织实施工业和信息化产业布局规划，贯彻落实国家产业政策；制定产业结构调整升级的政策措施；根据国家产业结构调整目录，依法组织实施国家相关行业的准入管理。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4</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）编制信息化与工业化融合发展规划，推进企业信息化不断提升；协调推进网络基础设施建设；统筹推进工业互联网建设和应用；协调推进工业领域信息安全工作；推动信息资源开发利用和共建共享。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5</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）起草工业和信息化领域的地方性法规、规章草案并对相关法律法规的执法情况进行监督检查；协调减轻企业负担工作；会同有关部门做好全县维护企业稳定工作。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6</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组织拟订全县工业企业技术进步的发展战略、规划和高技术产业中涉及生物医药、新材料、信息产业等的规划、政策并组织实施；编制和组织实施技术改造规划，提出工业和信息化固定资产投资规模和方向（含利用外资和境外投资）；推进企业技术创新体系建设；指导企业技术中心建设；组织新技术、新产品及新工艺的研发推广；指导行业技术创新和技术进步，以先进适用技术改造提升传统产业，组织实施相关科技重大专项，推进产学研结合和科研成果产业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7</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）推进工业行业体制改革和管理创新，提高行业综合素质和核心竞争力，指导相关行业加强安全生产管理和行业质量管理工作。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8</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研究提出支持全县民营经济发展的政策措施，协调解决重大问题；制定民营企业发展战略、中长期发展规划并组织实施；指导民营经济产业转型升级和高质量发展；推进民营经济发展服务中心体系建设，做好民营企业融资和融资担保的服务与协调工作；指导民营企业法律顾问工作；推进全民创业；为民营企业提供产业发展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9</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参与拟订能源节约和资源综合利用规划；承担工业企业的节能统计和监督工作；组织推进清洁生产工作；组织协调相关重大示范工程和相关新产品、新技术、新设备、新材料的推广应用；负责全县新型墙体材料企业的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10</w:t>
      </w:r>
      <w:r>
        <w:rPr>
          <w:rFonts w:hint="eastAsia" w:ascii="仿宋_GB2312" w:hAnsi="Times New Roman" w:eastAsia="仿宋_GB2312" w:cs="仿宋_GB2312"/>
          <w:i w:val="0"/>
          <w:iCs w:val="0"/>
          <w:caps w:val="0"/>
          <w:color w:val="000000" w:themeColor="text1"/>
          <w:spacing w:val="-1"/>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综合协调经济运行中与铁路、公路以及通信、邮政有关的重大问题；负责煤炭、电力、石油、天然气和原材料等经济运行保障要素的综合协调工作；指导生产企业物流外包，促进企业内部物流社会化。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11</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）根据国家统一规划，协调全县公用通信网、互联网、广播电视网和其他专用通信网的规划和建设，促进网络资源共享；依法监督管理信息服务市场。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12</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负责推动软件业和信息服务业的发展；组织制订软件业和信息服务业发展战略、专项规划及相关政策，协调解决重大问题，推动软件公共服务体系建设，推进软件服务外包；指导、协调技术开发和相关产业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13</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）指导全县工业、信息化领域人才开发与培训工作；开展人才和智力对外合作交流。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1"/>
          <w:sz w:val="32"/>
          <w:szCs w:val="32"/>
          <w:shd w:val="clear" w:fill="FFFFFF"/>
          <w:lang w:val="en-US" w:eastAsia="zh-CN"/>
          <w14:textFill>
            <w14:solidFill>
              <w14:schemeClr w14:val="tx1"/>
            </w14:solidFill>
          </w14:textFill>
        </w:rPr>
        <w:t>14</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）研究拟订电力（含水电）、医药、食品等行业的规划和行业规范，实施行业管理。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15</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）贯彻实施国家、省、市有关国内外贸易、招商引资、承接产业转移的发展战略、国际经济技术合作的发展战略、方针、政策，拟订全县相应的中长期发展规划以及规定、办法和措施。 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16</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）指导规划全县市场体系及商业网点布局，指导市场建设和培育，监督管理县市场服务中心。 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17</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起草全县商品流通和商业贸易的规范性文件，制定实施细则和市场准则；调查研究流通行业重大问题，提出政策建议；负责对商品流通的行业管理；指导报废汽车管理和再生资源回收工作；负责对成品油进行监督管理。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18</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管理全县进出口贸易工作，拟订和执行全县外贸进出口中长期规划和发展战略；分析国际国内经贸形式和我县进出口状况，提出出口产品结构调整等宏观调控建议；研究和推广各种新贸易方式（含电子商务），负责办理进出口经营权的相关手续；组织协调反倾销、反补贴、保障措施及其他与进出口公平贸易有关工作；组织实施农副产品等重要商品的进出口计划。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19</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责全县招商引资、投资促进工作，组织省、市、县政府和上级商务部门举办的内外贸促销活动和招商引资、对外经济合作活动；协调组织以江永县名义在境内外举办的各种内外贸交易会、展览会、展销会和招商引资等活动；建立县级招商项目库，统一对外发布招商项目；负责县级招商签约项目的跟踪服务和督促落实；负责县直单位招商引资目标责任制的拟定和检查考核；分析研究全县招商引资情况、拟订招商引资发展战略和规划；依法核准外商投资项目的合同、章程及法律特别规定的重大变更事项；督促指导外商投资企业执行有关法律法规和合同、章程；参与协调县工业园区的有关具体工作。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责全县对外经济合作工作；拟订并执行全县对外经济合作的政策和管理办法；负责全县对外承包工程、劳务合作等业务的管理；负责国际经济援助和受援项目的归口管理工作；负责全县因公经贸出国（境）人员的审核、报批工作。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21</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）负责全县商务工作及信息发布，提供信息咨询服务；指导全县流通领域信息网络和电子商务建设，监督管理县电商服务中心。 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22</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）组织编制全县开展横向经济技术协作、内联引资工作计划；参与全县重大经济技术协作与横向经济联合项目的立项审核和申报工作。 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23</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）负责全县科学技术进步的宏观管理和统筹协调，牵头拟订全县科学技术发展的中长期规划和年度计划。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24</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组织实施科技重大专项。制定相关配套政策；组织科技重大专项实施中的方案论证、评审立项、跟踪管理与评估验收等；统筹申报和组织实施国家、省、市科技重大专项工作，协调科技重大专项与国家、省、市科技重大专项的衔接与配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25</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）负责组织实施县级科技计划工作。制定科技计划和重大科技工程计划；负责国家、省、市科技计划项目的申报、推荐和管理；牵头组织全县经济社会发展重要领域的重大关键技术攻关。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26</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）牵头组织全县农村和社会发展领域的科技进步工作。组织拟订科技促进农村和社会发展的规划和政策，组织引导农业和社会发展领域的关键技术和成果示范，促进以改善民生为重点的农村建设和社会建设。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27</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牵头组织协调促进全县产学研结合工作。会同有关部门拟订促进产学研结合的相关政策；组织重大科技成果应用示范，加强科技成果转化和推广，推动企业技术创新能力建设；拟订促进技术市场、科技中介组织发展政策，负责全县技术市场体系建设和管理，推进科技服务体系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28</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责全县高新技术的研究开发、成果转化以及产业化工作。会同有关部门拟订高新技术发展及产业化的规划和政策，组织实施高新技术产业化重大项目；负责高新技术企业、技术先进型服务企业和自主创新产品等申报工作；指导并推动高新技术企业创新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29</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）拟订全县对外科技合作与交流的规划和政策；负责组织科技外事与合作项目的审定工作；参与重大引进项目的论证与决策。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30</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）负责全县科学技术普及工作。拟订全县科普规划和相关政策；组织实施科普计划，负责省、市级科普基地和示范基地认定的推荐申报工作；统筹协调和监督检查全县科普工作。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31</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）负责全县科技人才有关工作。会同有关部门拟订科技人才队伍建设规划，提出相关政策建议；承担全县科技人才队伍建设和科技创新团队建设有关工作；承担外国专家管理职责。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32</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）负责全县科技奖励、科技保密、科技评估、科技统计、科技情报信息、科技期刊管理等工作。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33</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）承办县人民政府交办的其他事项。</w:t>
      </w:r>
    </w:p>
    <w:p>
      <w:pPr>
        <w:keepNext w:val="0"/>
        <w:keepLines w:val="0"/>
        <w:pageBreakBefore w:val="0"/>
        <w:widowControl/>
        <w:kinsoku/>
        <w:wordWrap/>
        <w:overflowPunct/>
        <w:topLinePunct w:val="0"/>
        <w:autoSpaceDN/>
        <w:bidi w:val="0"/>
        <w:adjustRightInd/>
        <w:snapToGrid/>
        <w:spacing w:line="560" w:lineRule="exact"/>
        <w:textAlignment w:val="auto"/>
        <w:rPr>
          <w:rFonts w:hint="eastAsia" w:eastAsia="仿宋_GB2312"/>
          <w:sz w:val="32"/>
          <w:szCs w:val="32"/>
        </w:rPr>
      </w:pPr>
      <w:r>
        <w:rPr>
          <w:rFonts w:hint="eastAsia" w:eastAsia="仿宋_GB2312"/>
          <w:sz w:val="32"/>
          <w:szCs w:val="32"/>
        </w:rPr>
        <w:t xml:space="preserve"> </w:t>
      </w:r>
      <w:r>
        <w:rPr>
          <w:rFonts w:hint="eastAsia" w:eastAsia="仿宋_GB2312"/>
          <w:b/>
          <w:bCs/>
          <w:sz w:val="32"/>
          <w:szCs w:val="32"/>
        </w:rPr>
        <w:t xml:space="preserve">  </w:t>
      </w:r>
      <w:r>
        <w:rPr>
          <w:rFonts w:hint="eastAsia" w:eastAsia="仿宋_GB2312"/>
          <w:b/>
          <w:bCs/>
          <w:sz w:val="32"/>
          <w:szCs w:val="32"/>
          <w:lang w:val="en-US" w:eastAsia="zh-CN"/>
        </w:rPr>
        <w:t xml:space="preserve"> </w:t>
      </w:r>
      <w:r>
        <w:rPr>
          <w:rFonts w:hint="eastAsia" w:eastAsia="仿宋_GB2312"/>
          <w:b/>
          <w:bCs/>
          <w:sz w:val="32"/>
          <w:szCs w:val="32"/>
        </w:rPr>
        <w:t xml:space="preserve">2.机构设置和人员情况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21"/>
          <w:szCs w:val="21"/>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江永县</w:t>
      </w:r>
      <w:r>
        <w:rPr>
          <w:rFonts w:hint="eastAsia" w:eastAsia="仿宋_GB2312"/>
          <w:color w:val="000000" w:themeColor="text1"/>
          <w:sz w:val="32"/>
          <w:szCs w:val="32"/>
          <w:lang w:eastAsia="zh-CN"/>
          <w14:textFill>
            <w14:solidFill>
              <w14:schemeClr w14:val="tx1"/>
            </w14:solidFill>
          </w14:textFill>
        </w:rPr>
        <w:t>科工</w:t>
      </w:r>
      <w:r>
        <w:rPr>
          <w:rFonts w:hint="eastAsia" w:eastAsia="仿宋_GB2312"/>
          <w:color w:val="000000" w:themeColor="text1"/>
          <w:sz w:val="32"/>
          <w:szCs w:val="32"/>
          <w14:textFill>
            <w14:solidFill>
              <w14:schemeClr w14:val="tx1"/>
            </w14:solidFill>
          </w14:textFill>
        </w:rPr>
        <w:t>局为独立核算的行政单位，属一级预算单位，根据编委核定，</w:t>
      </w:r>
      <w:r>
        <w:rPr>
          <w:rFonts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内设</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6个职能股（室）：综合事务办公室（加挂政工室、财务室）</w:t>
      </w:r>
      <w:r>
        <w:rPr>
          <w:rFonts w:hint="eastAsia" w:ascii="仿宋_GB2312" w:hAnsi="Times New Roman" w:eastAsia="仿宋_GB2312" w:cs="仿宋_GB2312"/>
          <w:i w:val="0"/>
          <w:iCs w:val="0"/>
          <w:caps w:val="0"/>
          <w:color w:val="000000" w:themeColor="text1"/>
          <w:spacing w:val="-1"/>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工业经济运行股</w:t>
      </w:r>
      <w:r>
        <w:rPr>
          <w:rFonts w:hint="eastAsia" w:ascii="仿宋_GB2312" w:hAnsi="Times New Roman" w:eastAsia="仿宋_GB2312" w:cs="仿宋_GB2312"/>
          <w:i w:val="0"/>
          <w:iCs w:val="0"/>
          <w:caps w:val="0"/>
          <w:color w:val="000000" w:themeColor="text1"/>
          <w:spacing w:val="-1"/>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科技工作与外国专家服务股</w:t>
      </w:r>
      <w:r>
        <w:rPr>
          <w:rFonts w:hint="eastAsia" w:ascii="仿宋_GB2312" w:hAnsi="Times New Roman" w:eastAsia="仿宋_GB2312" w:cs="仿宋_GB2312"/>
          <w:i w:val="0"/>
          <w:iCs w:val="0"/>
          <w:caps w:val="0"/>
          <w:color w:val="000000" w:themeColor="text1"/>
          <w:spacing w:val="-1"/>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内贸管理股</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外经贸管理股</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行政审批执法股</w:t>
      </w:r>
      <w:r>
        <w:rPr>
          <w:rFonts w:hint="eastAsia" w:ascii="仿宋_GB2312" w:hAnsi="Times New Roman" w:eastAsia="仿宋_GB2312" w:cs="仿宋_GB2312"/>
          <w:i w:val="0"/>
          <w:iCs w:val="0"/>
          <w:caps w:val="0"/>
          <w:color w:val="000000" w:themeColor="text1"/>
          <w:spacing w:val="-1"/>
          <w:sz w:val="32"/>
          <w:szCs w:val="32"/>
          <w:shd w:val="clear" w:fill="FFFFFF"/>
          <w:lang w:eastAsia="zh-CN"/>
          <w14:textFill>
            <w14:solidFill>
              <w14:schemeClr w14:val="tx1"/>
            </w14:solidFill>
          </w14:textFill>
        </w:rPr>
        <w:t>，下辖</w:t>
      </w:r>
      <w:r>
        <w:rPr>
          <w:rFonts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县市场服务中心</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江永县投资促进事务局</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县</w:t>
      </w:r>
      <w:r>
        <w:rPr>
          <w:rFonts w:hint="default" w:ascii="仿宋_GB2312" w:hAnsi="Times New Roman" w:eastAsia="仿宋_GB2312" w:cs="仿宋_GB2312"/>
          <w:i w:val="0"/>
          <w:iCs w:val="0"/>
          <w:caps w:val="0"/>
          <w:color w:val="000000" w:themeColor="text1"/>
          <w:spacing w:val="-1"/>
          <w:sz w:val="32"/>
          <w:szCs w:val="32"/>
          <w:shd w:val="clear" w:fill="FFFFFF"/>
          <w14:textFill>
            <w14:solidFill>
              <w14:schemeClr w14:val="tx1"/>
            </w14:solidFill>
          </w14:textFill>
        </w:rPr>
        <w:t>电商服务中心</w:t>
      </w:r>
      <w:r>
        <w:rPr>
          <w:rFonts w:hint="eastAsia" w:ascii="仿宋_GB2312" w:hAnsi="Times New Roman" w:eastAsia="仿宋_GB2312" w:cs="仿宋_GB2312"/>
          <w:i w:val="0"/>
          <w:iCs w:val="0"/>
          <w:caps w:val="0"/>
          <w:color w:val="000000" w:themeColor="text1"/>
          <w:spacing w:val="-1"/>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县民营经济发展服务中心</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四个副科级公益事业单位以及</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科技情报研究所</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default" w:ascii="仿宋_GB2312" w:hAnsi="Times New Roman" w:eastAsia="仿宋_GB2312" w:cs="仿宋_GB2312"/>
          <w:i w:val="0"/>
          <w:iCs w:val="0"/>
          <w:caps w:val="0"/>
          <w:color w:val="000000" w:themeColor="text1"/>
          <w:spacing w:val="0"/>
          <w:sz w:val="32"/>
          <w:szCs w:val="32"/>
          <w:shd w:val="clear" w:fill="FFFFFF"/>
          <w14:textFill>
            <w14:solidFill>
              <w14:schemeClr w14:val="tx1"/>
            </w14:solidFill>
          </w14:textFill>
        </w:rPr>
        <w:t>科技技术市场管理办公室</w:t>
      </w:r>
      <w:r>
        <w:rPr>
          <w:rFonts w:hint="eastAsia" w:ascii="仿宋_GB2312"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两个股室事业单位。全局定编</w:t>
      </w:r>
      <w:r>
        <w:rPr>
          <w:rFonts w:hint="eastAsia" w:ascii="仿宋_GB2312"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43人（因江永县市场服务中心独立编制预决算，不包含在内），实有在职人员43人（不含江永县市场服务中心）。</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部门（单位）年度整体支出绩效目标，省级专项资金绩效目标、其他项目支出（除省级专项资金以外）绩效目标</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val="en-US" w:eastAsia="zh-CN"/>
        </w:rPr>
        <w:t>1、全县实现规模工业总产值60亿元以上，同比增长10%以上。</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val="en-US" w:eastAsia="zh-CN"/>
        </w:rPr>
        <w:t>2、完成工业增加值15亿元以上，同比增长10%以上；</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rPr>
      </w:pPr>
      <w:r>
        <w:rPr>
          <w:rFonts w:hint="eastAsia" w:ascii="仿宋_GB2312" w:hAnsi="仿宋_GB2312" w:eastAsia="仿宋_GB2312" w:cs="仿宋_GB2312"/>
          <w:b w:val="0"/>
          <w:bCs/>
          <w:color w:val="auto"/>
          <w:spacing w:val="0"/>
          <w:sz w:val="32"/>
          <w:szCs w:val="32"/>
          <w:highlight w:val="none"/>
          <w:lang w:val="en-US" w:eastAsia="zh-CN"/>
        </w:rPr>
        <w:t>3、</w:t>
      </w:r>
      <w:r>
        <w:rPr>
          <w:rFonts w:hint="eastAsia" w:ascii="仿宋_GB2312" w:hAnsi="Calibri" w:eastAsia="仿宋_GB2312" w:cs="黑体"/>
          <w:kern w:val="2"/>
          <w:sz w:val="32"/>
          <w:szCs w:val="32"/>
          <w:lang w:val="en-US" w:eastAsia="zh-CN" w:bidi="ar-SA"/>
        </w:rPr>
        <w:t>签约项目20个，总投资额为30亿元。</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二、一般公共预算支出情况</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年支出决算数为</w:t>
      </w:r>
      <w:r>
        <w:rPr>
          <w:rFonts w:hint="eastAsia" w:eastAsia="仿宋_GB2312"/>
          <w:sz w:val="32"/>
          <w:szCs w:val="32"/>
          <w:lang w:val="en-US" w:eastAsia="zh-CN"/>
        </w:rPr>
        <w:t>1044.25</w:t>
      </w:r>
      <w:r>
        <w:rPr>
          <w:rFonts w:hint="eastAsia" w:eastAsia="仿宋_GB2312"/>
          <w:sz w:val="32"/>
          <w:szCs w:val="32"/>
        </w:rPr>
        <w:t>万元，详细情况如下：</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（一）基本支出情况</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年基本支出</w:t>
      </w:r>
      <w:r>
        <w:rPr>
          <w:rFonts w:hint="eastAsia" w:eastAsia="仿宋_GB2312"/>
          <w:sz w:val="32"/>
          <w:szCs w:val="32"/>
          <w:lang w:val="en-US" w:eastAsia="zh-CN"/>
        </w:rPr>
        <w:t>432.26</w:t>
      </w:r>
      <w:r>
        <w:rPr>
          <w:rFonts w:hint="eastAsia" w:eastAsia="仿宋_GB2312"/>
          <w:sz w:val="32"/>
          <w:szCs w:val="32"/>
        </w:rPr>
        <w:t>万元，主要用于单位人员工资、</w:t>
      </w:r>
      <w:r>
        <w:rPr>
          <w:rFonts w:hint="eastAsia" w:eastAsia="仿宋_GB2312"/>
          <w:sz w:val="32"/>
          <w:szCs w:val="32"/>
          <w:lang w:eastAsia="zh-CN"/>
        </w:rPr>
        <w:t>社保费、</w:t>
      </w:r>
      <w:r>
        <w:rPr>
          <w:rFonts w:hint="eastAsia" w:eastAsia="仿宋_GB2312"/>
          <w:sz w:val="32"/>
          <w:szCs w:val="32"/>
        </w:rPr>
        <w:t>办公费、水电费、邮电费、差旅费、车辆运行维护费、公务接待费等。</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（二）项目支出情况</w:t>
      </w:r>
    </w:p>
    <w:p>
      <w:pPr>
        <w:keepNext w:val="0"/>
        <w:keepLines w:val="0"/>
        <w:pageBreakBefore w:val="0"/>
        <w:widowControl/>
        <w:kinsoku/>
        <w:wordWrap/>
        <w:overflowPunct/>
        <w:topLinePunct w:val="0"/>
        <w:autoSpaceDN/>
        <w:bidi w:val="0"/>
        <w:adjustRightInd/>
        <w:snapToGrid/>
        <w:spacing w:line="560" w:lineRule="exact"/>
        <w:textAlignment w:val="auto"/>
        <w:rPr>
          <w:rFonts w:hint="eastAsia" w:eastAsia="仿宋_GB2312"/>
          <w:sz w:val="32"/>
          <w:szCs w:val="32"/>
        </w:rPr>
      </w:pPr>
      <w:r>
        <w:rPr>
          <w:rFonts w:hint="eastAsia" w:eastAsia="仿宋_GB2312"/>
          <w:sz w:val="32"/>
          <w:szCs w:val="32"/>
        </w:rPr>
        <w:t xml:space="preserve">    项目支出是指为完成</w:t>
      </w:r>
      <w:r>
        <w:rPr>
          <w:rFonts w:hint="eastAsia" w:eastAsia="仿宋_GB2312"/>
          <w:sz w:val="32"/>
          <w:szCs w:val="32"/>
          <w:lang w:eastAsia="zh-CN"/>
        </w:rPr>
        <w:t>特定</w:t>
      </w:r>
      <w:r>
        <w:rPr>
          <w:rFonts w:hint="eastAsia" w:eastAsia="仿宋_GB2312"/>
          <w:sz w:val="32"/>
          <w:szCs w:val="32"/>
        </w:rPr>
        <w:t>工作</w:t>
      </w:r>
      <w:r>
        <w:rPr>
          <w:rFonts w:hint="eastAsia" w:eastAsia="仿宋_GB2312"/>
          <w:sz w:val="32"/>
          <w:szCs w:val="32"/>
          <w:lang w:eastAsia="zh-CN"/>
        </w:rPr>
        <w:t>任务</w:t>
      </w:r>
      <w:r>
        <w:rPr>
          <w:rFonts w:hint="eastAsia" w:eastAsia="仿宋_GB2312"/>
          <w:sz w:val="32"/>
          <w:szCs w:val="32"/>
        </w:rPr>
        <w:t>而发生的支出，202</w:t>
      </w:r>
      <w:r>
        <w:rPr>
          <w:rFonts w:hint="eastAsia" w:eastAsia="仿宋_GB2312"/>
          <w:sz w:val="32"/>
          <w:szCs w:val="32"/>
          <w:lang w:val="en-US" w:eastAsia="zh-CN"/>
        </w:rPr>
        <w:t>1</w:t>
      </w:r>
      <w:r>
        <w:rPr>
          <w:rFonts w:hint="eastAsia" w:eastAsia="仿宋_GB2312"/>
          <w:sz w:val="32"/>
          <w:szCs w:val="32"/>
        </w:rPr>
        <w:t>年项目支出</w:t>
      </w:r>
      <w:r>
        <w:rPr>
          <w:rFonts w:hint="eastAsia" w:eastAsia="仿宋_GB2312"/>
          <w:sz w:val="32"/>
          <w:szCs w:val="32"/>
          <w:lang w:val="en-US" w:eastAsia="zh-CN"/>
        </w:rPr>
        <w:t>609.62</w:t>
      </w:r>
      <w:r>
        <w:rPr>
          <w:rFonts w:hint="eastAsia" w:eastAsia="仿宋_GB2312"/>
          <w:sz w:val="32"/>
          <w:szCs w:val="32"/>
        </w:rPr>
        <w:t>万元，</w:t>
      </w:r>
      <w:r>
        <w:rPr>
          <w:rFonts w:hint="eastAsia" w:eastAsia="仿宋_GB2312"/>
          <w:sz w:val="32"/>
          <w:szCs w:val="32"/>
          <w:lang w:eastAsia="zh-CN"/>
        </w:rPr>
        <w:t>主要有突发公共卫生事件应急处理支出</w:t>
      </w:r>
      <w:r>
        <w:rPr>
          <w:rFonts w:hint="eastAsia" w:eastAsia="仿宋_GB2312"/>
          <w:sz w:val="32"/>
          <w:szCs w:val="32"/>
          <w:lang w:val="en-US" w:eastAsia="zh-CN"/>
        </w:rPr>
        <w:t>486.13万元、对企业的补助支出102.39万元、其他专项支出21.1万元</w:t>
      </w:r>
      <w:r>
        <w:rPr>
          <w:rFonts w:hint="eastAsia" w:eastAsia="仿宋_GB2312"/>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三、政府性基金预算支出情况</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我单位202</w:t>
      </w:r>
      <w:r>
        <w:rPr>
          <w:rFonts w:hint="eastAsia" w:eastAsia="仿宋_GB2312"/>
          <w:sz w:val="32"/>
          <w:szCs w:val="32"/>
          <w:lang w:val="en-US" w:eastAsia="zh-CN"/>
        </w:rPr>
        <w:t>1</w:t>
      </w:r>
      <w:r>
        <w:rPr>
          <w:rFonts w:hint="eastAsia" w:eastAsia="仿宋_GB2312"/>
          <w:sz w:val="32"/>
          <w:szCs w:val="32"/>
        </w:rPr>
        <w:t>年度无政府性基金预算支出。</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四、国有资本经营预算支出情况</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我单位202</w:t>
      </w:r>
      <w:r>
        <w:rPr>
          <w:rFonts w:hint="eastAsia" w:eastAsia="仿宋_GB2312"/>
          <w:sz w:val="32"/>
          <w:szCs w:val="32"/>
          <w:lang w:val="en-US" w:eastAsia="zh-CN"/>
        </w:rPr>
        <w:t>1</w:t>
      </w:r>
      <w:r>
        <w:rPr>
          <w:rFonts w:hint="eastAsia" w:eastAsia="仿宋_GB2312"/>
          <w:sz w:val="32"/>
          <w:szCs w:val="32"/>
        </w:rPr>
        <w:t>年度国有资本经营预算支出</w:t>
      </w:r>
      <w:r>
        <w:rPr>
          <w:rFonts w:hint="eastAsia" w:eastAsia="仿宋_GB2312"/>
          <w:sz w:val="32"/>
          <w:szCs w:val="32"/>
          <w:lang w:val="en-US" w:eastAsia="zh-CN"/>
        </w:rPr>
        <w:t>2.37万元</w:t>
      </w:r>
      <w:r>
        <w:rPr>
          <w:rFonts w:hint="eastAsia" w:eastAsia="仿宋_GB2312"/>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五、社会保险基金预算支出情况</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我单位202</w:t>
      </w:r>
      <w:r>
        <w:rPr>
          <w:rFonts w:hint="eastAsia" w:eastAsia="仿宋_GB2312"/>
          <w:sz w:val="32"/>
          <w:szCs w:val="32"/>
          <w:lang w:val="en-US" w:eastAsia="zh-CN"/>
        </w:rPr>
        <w:t>1</w:t>
      </w:r>
      <w:r>
        <w:rPr>
          <w:rFonts w:hint="eastAsia" w:eastAsia="仿宋_GB2312"/>
          <w:sz w:val="32"/>
          <w:szCs w:val="32"/>
        </w:rPr>
        <w:t>年度无社会保险基金预算支出。</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六、部门整体支出绩效情况</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（一）运行成本方面</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 w:eastAsia="仿宋_GB2312"/>
          <w:color w:val="000000"/>
          <w:sz w:val="32"/>
          <w:szCs w:val="32"/>
          <w:lang w:val="en-US" w:eastAsia="zh-CN"/>
        </w:rPr>
      </w:pPr>
      <w:r>
        <w:rPr>
          <w:rFonts w:hint="eastAsia" w:eastAsia="仿宋_GB2312"/>
          <w:b w:val="0"/>
          <w:bCs w:val="0"/>
          <w:sz w:val="32"/>
          <w:szCs w:val="32"/>
          <w:lang w:eastAsia="zh-CN"/>
        </w:rPr>
        <w:t>加强“三公”经费管理，</w:t>
      </w:r>
      <w:r>
        <w:rPr>
          <w:rFonts w:hint="eastAsia" w:eastAsia="仿宋_GB2312"/>
          <w:b w:val="0"/>
          <w:bCs w:val="0"/>
          <w:sz w:val="32"/>
          <w:szCs w:val="32"/>
        </w:rPr>
        <w:t>严控“三公”经费支出。</w:t>
      </w:r>
      <w:r>
        <w:rPr>
          <w:rFonts w:ascii="仿宋_GB2312" w:hAnsi="仿宋" w:eastAsia="仿宋_GB2312"/>
          <w:color w:val="000000"/>
          <w:sz w:val="32"/>
          <w:szCs w:val="32"/>
        </w:rPr>
        <w:t>2021</w:t>
      </w:r>
      <w:r>
        <w:rPr>
          <w:rFonts w:hint="eastAsia" w:ascii="仿宋_GB2312" w:hAnsi="仿宋" w:eastAsia="仿宋_GB2312"/>
          <w:color w:val="000000"/>
          <w:sz w:val="32"/>
          <w:szCs w:val="32"/>
        </w:rPr>
        <w:t>年，县</w:t>
      </w:r>
      <w:r>
        <w:rPr>
          <w:rFonts w:hint="eastAsia" w:ascii="仿宋_GB2312" w:hAnsi="仿宋" w:eastAsia="仿宋_GB2312"/>
          <w:color w:val="000000"/>
          <w:sz w:val="32"/>
          <w:szCs w:val="32"/>
          <w:lang w:eastAsia="zh-CN"/>
        </w:rPr>
        <w:t>科工</w:t>
      </w:r>
      <w:r>
        <w:rPr>
          <w:rFonts w:hint="eastAsia" w:ascii="仿宋_GB2312" w:hAnsi="仿宋" w:eastAsia="仿宋_GB2312"/>
          <w:color w:val="000000"/>
          <w:sz w:val="32"/>
          <w:szCs w:val="32"/>
        </w:rPr>
        <w:t>局开支“三公经费”计</w:t>
      </w:r>
      <w:r>
        <w:rPr>
          <w:rFonts w:hint="eastAsia" w:ascii="仿宋_GB2312" w:hAnsi="仿宋" w:eastAsia="仿宋_GB2312"/>
          <w:color w:val="000000"/>
          <w:sz w:val="32"/>
          <w:szCs w:val="32"/>
          <w:lang w:val="en-US" w:eastAsia="zh-CN"/>
        </w:rPr>
        <w:t>8.44</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比上年度下降</w:t>
      </w:r>
      <w:r>
        <w:rPr>
          <w:rFonts w:hint="eastAsia" w:ascii="仿宋_GB2312" w:hAnsi="仿宋" w:eastAsia="仿宋_GB2312"/>
          <w:color w:val="000000"/>
          <w:sz w:val="32"/>
          <w:szCs w:val="32"/>
          <w:lang w:val="en-US" w:eastAsia="zh-CN"/>
        </w:rPr>
        <w:t>19%。</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）管理效率方面</w:t>
      </w:r>
    </w:p>
    <w:p>
      <w:pPr>
        <w:keepNext w:val="0"/>
        <w:keepLines w:val="0"/>
        <w:pageBreakBefore w:val="0"/>
        <w:widowControl/>
        <w:kinsoku/>
        <w:wordWrap/>
        <w:overflowPunct/>
        <w:topLinePunct w:val="0"/>
        <w:autoSpaceDN/>
        <w:bidi w:val="0"/>
        <w:adjustRightInd/>
        <w:snapToGrid/>
        <w:spacing w:line="560" w:lineRule="exact"/>
        <w:textAlignment w:val="auto"/>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制定目标考核管理办法，调动干部职工工作积极性；加强预算执行监控，保持财政支付进度与国库余额协调运转。</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（三）履职效能方面</w:t>
      </w:r>
    </w:p>
    <w:p>
      <w:pPr>
        <w:keepNext w:val="0"/>
        <w:keepLines w:val="0"/>
        <w:pageBreakBefore w:val="0"/>
        <w:widowControl w:val="0"/>
        <w:kinsoku/>
        <w:wordWrap/>
        <w:overflowPunct/>
        <w:topLinePunct w:val="0"/>
        <w:autoSpaceDE w:val="0"/>
        <w:autoSpaceDN/>
        <w:bidi w:val="0"/>
        <w:adjustRightInd/>
        <w:snapToGrid/>
        <w:spacing w:before="0" w:beforeLines="0" w:after="0" w:afterLines="0" w:line="560" w:lineRule="exact"/>
        <w:ind w:left="0" w:leftChars="0" w:right="0" w:rightChars="0" w:firstLine="640"/>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认真履行职责，围绕目标任务开展工作。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（1）工业经济运行工作。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default" w:ascii="Calibri" w:hAnsi="Calibri" w:eastAsia="仿宋_GB2312" w:cs="Calibri"/>
          <w:b/>
          <w:bCs/>
          <w:color w:val="auto"/>
          <w:sz w:val="32"/>
          <w:szCs w:val="32"/>
          <w:lang w:val="en-US" w:eastAsia="zh-CN"/>
        </w:rPr>
        <w:t>①</w:t>
      </w:r>
      <w:r>
        <w:rPr>
          <w:rFonts w:hint="eastAsia" w:ascii="仿宋_GB2312" w:hAnsi="仿宋_GB2312" w:eastAsia="仿宋_GB2312" w:cs="仿宋_GB2312"/>
          <w:b/>
          <w:bCs/>
          <w:color w:val="auto"/>
          <w:sz w:val="32"/>
          <w:szCs w:val="32"/>
          <w:lang w:val="en-US" w:eastAsia="zh-CN"/>
        </w:rPr>
        <w:t>主要经济指标完成情况。</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val="en-US" w:eastAsia="zh-CN"/>
        </w:rPr>
        <w:t>2021年全县规模工业总产值64.68亿元；完成工业增加值17.02亿元；工业实交税金完成 2.37亿元；规模工业企业发展到49家，今年规模企业入统完成了5家。2021年被评为全省工业经济运行监测协调工作先进单位；江永县青鹤铝业有限公司认定为2021年度永州市专精特新“小巨人”企业。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pacing w:val="0"/>
          <w:kern w:val="2"/>
          <w:sz w:val="32"/>
          <w:szCs w:val="32"/>
          <w:highlight w:val="none"/>
          <w:lang w:val="en-US" w:eastAsia="zh-CN" w:bidi="ar-SA"/>
        </w:rPr>
      </w:pPr>
      <w:r>
        <w:rPr>
          <w:rFonts w:hint="eastAsia" w:ascii="楷体" w:hAnsi="楷体" w:eastAsia="楷体" w:cs="楷体"/>
          <w:color w:val="auto"/>
          <w:sz w:val="32"/>
          <w:szCs w:val="32"/>
          <w:lang w:val="en-US" w:eastAsia="zh-CN"/>
        </w:rPr>
        <w:t xml:space="preserve"> </w:t>
      </w:r>
      <w:r>
        <w:rPr>
          <w:rFonts w:hint="default" w:ascii="Calibri" w:hAnsi="Calibri" w:eastAsia="楷体" w:cs="Calibri"/>
          <w:color w:val="auto"/>
          <w:sz w:val="32"/>
          <w:szCs w:val="32"/>
          <w:lang w:val="en-US" w:eastAsia="zh-CN"/>
        </w:rPr>
        <w:t>②</w:t>
      </w:r>
      <w:r>
        <w:rPr>
          <w:rFonts w:hint="eastAsia" w:ascii="仿宋_GB2312" w:hAnsi="仿宋_GB2312" w:eastAsia="仿宋_GB2312" w:cs="仿宋_GB2312"/>
          <w:b/>
          <w:bCs/>
          <w:color w:val="auto"/>
          <w:sz w:val="32"/>
          <w:szCs w:val="32"/>
          <w:lang w:val="en-US" w:eastAsia="zh-CN"/>
        </w:rPr>
        <w:t>重点工业项目建设情况。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kern w:val="2"/>
          <w:sz w:val="32"/>
          <w:szCs w:val="32"/>
          <w:highlight w:val="none"/>
          <w:lang w:val="en-US" w:eastAsia="zh-CN" w:bidi="ar-SA"/>
        </w:rPr>
      </w:pPr>
      <w:r>
        <w:rPr>
          <w:rFonts w:hint="eastAsia" w:ascii="仿宋_GB2312" w:hAnsi="仿宋_GB2312" w:eastAsia="仿宋_GB2312" w:cs="仿宋_GB2312"/>
          <w:b w:val="0"/>
          <w:bCs/>
          <w:color w:val="auto"/>
          <w:spacing w:val="0"/>
          <w:kern w:val="2"/>
          <w:sz w:val="32"/>
          <w:szCs w:val="32"/>
          <w:highlight w:val="none"/>
          <w:lang w:val="en-US" w:eastAsia="zh-CN" w:bidi="ar-SA"/>
        </w:rPr>
        <w:t>全县重点工业项目建设持续快速推进，在建项目主要有永州市中新再生资源有限公司（2021年产值约1亿元，2022年项目全部建成后年产值可达5亿元以上）、华皓新材料产业园、天石新材料科技有限公司年产100万吨氧化钙生产线、华博新材料科技有限公司年产50万吨氧化钙生产线项目等项目已竣工投产。温氏晶鲜、通瑞电子、奇谷智能、鑫普照明等陆续投产。</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（2）科技创新工作。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default" w:ascii="Calibri" w:hAnsi="Calibri" w:eastAsia="仿宋_GB2312" w:cs="Calibri"/>
          <w:b/>
          <w:bCs/>
          <w:color w:val="auto"/>
          <w:sz w:val="32"/>
          <w:szCs w:val="32"/>
          <w:lang w:val="en-US" w:eastAsia="zh-CN"/>
        </w:rPr>
        <w:t>①</w:t>
      </w:r>
      <w:r>
        <w:rPr>
          <w:rFonts w:hint="eastAsia" w:ascii="仿宋_GB2312" w:hAnsi="仿宋_GB2312" w:eastAsia="仿宋_GB2312" w:cs="仿宋_GB2312"/>
          <w:b/>
          <w:bCs/>
          <w:color w:val="auto"/>
          <w:sz w:val="32"/>
          <w:szCs w:val="32"/>
          <w:lang w:val="en-US" w:eastAsia="zh-CN"/>
        </w:rPr>
        <w:t>指标完成情况。</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val="en-US" w:eastAsia="zh-CN"/>
        </w:rPr>
        <w:t>2021年全社会研发经费投入3.04亿元；2021年全县财政科技支出预计6600万元；2021年我县共有12家高新技术企业；技术合同成交总额2021年完成19994万元；2021年共有4家企业获得研发奖补项目，共计24.09万元，实现了零的突破。</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sz w:val="32"/>
          <w:szCs w:val="32"/>
          <w:highlight w:val="none"/>
          <w:lang w:val="en-US" w:eastAsia="zh-CN"/>
        </w:rPr>
      </w:pPr>
      <w:r>
        <w:rPr>
          <w:rFonts w:hint="default" w:ascii="Calibri" w:hAnsi="Calibri" w:eastAsia="仿宋_GB2312" w:cs="Calibri"/>
          <w:b/>
          <w:bCs/>
          <w:color w:val="auto"/>
          <w:sz w:val="32"/>
          <w:szCs w:val="32"/>
          <w:lang w:val="en-US" w:eastAsia="zh-CN"/>
        </w:rPr>
        <w:t>②</w:t>
      </w:r>
      <w:r>
        <w:rPr>
          <w:rFonts w:hint="eastAsia" w:ascii="仿宋_GB2312" w:hAnsi="仿宋_GB2312" w:eastAsia="仿宋_GB2312" w:cs="仿宋_GB2312"/>
          <w:b/>
          <w:bCs/>
          <w:color w:val="auto"/>
          <w:sz w:val="32"/>
          <w:szCs w:val="32"/>
          <w:lang w:val="en-US" w:eastAsia="zh-CN"/>
        </w:rPr>
        <w:t>优化创新环境完成情况。</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val="en-US" w:eastAsia="zh-CN"/>
        </w:rPr>
        <w:t>大力开展科普工作促进科技成果转化。每年5月都开展了科技活动周、科技三下乡等科普宣传活动，深入企业走访，广泛宣传发动，组织开展各类科技活动36次，发放科普资料1.8万余份，科技图书3000余册，有效地提高了广大基层干部群众的科技意识和科学文化素质，为科技成果转移转化打下了良好基础。</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val="en-US" w:eastAsia="zh-CN"/>
        </w:rPr>
        <w:t>组建科技扶贫专家服务团。2021年江永县科技专家服务团整合了 “三区”科技人才、省、市、县三级科技特派员等各级科技人才资源，共计82人组成，科技专家服务团成员对接全县所有贫困村、龙头企业、新型农业经营主体，为全县农业产业发展、脱贫攻坚、乡村振兴提供了全产业链智力支撑。</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仿宋_GB2312" w:eastAsia="仿宋_GB2312" w:cs="仿宋_GB2312"/>
          <w:b w:val="0"/>
          <w:bCs/>
          <w:color w:val="auto"/>
          <w:spacing w:val="0"/>
          <w:sz w:val="32"/>
          <w:szCs w:val="32"/>
          <w:highlight w:val="none"/>
          <w:lang w:val="en-US" w:eastAsia="zh-CN"/>
        </w:rPr>
        <w:t>每年均组织企业参加湖南省创新创业大赛，今年组织3家企业参加2021年湖南省创新创业大赛，龙毅科技获省优秀奖；　协助企业申报，江永县香柚开发总公司通过2021年永州市工程技术研究中心认定。</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（3）商务、开放型经济工作。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default" w:ascii="Calibri" w:hAnsi="Calibri" w:eastAsia="仿宋_GB2312" w:cs="Calibri"/>
          <w:b/>
          <w:bCs/>
          <w:color w:val="auto"/>
          <w:sz w:val="32"/>
          <w:szCs w:val="32"/>
          <w:lang w:val="en-US" w:eastAsia="zh-CN"/>
        </w:rPr>
        <w:t>①</w:t>
      </w:r>
      <w:r>
        <w:rPr>
          <w:rFonts w:hint="eastAsia" w:ascii="仿宋_GB2312" w:hAnsi="仿宋_GB2312" w:eastAsia="仿宋_GB2312" w:cs="仿宋_GB2312"/>
          <w:b/>
          <w:bCs/>
          <w:color w:val="auto"/>
          <w:sz w:val="32"/>
          <w:szCs w:val="32"/>
          <w:lang w:val="en-US" w:eastAsia="zh-CN"/>
        </w:rPr>
        <w:t>商务工作指标完成情况。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left"/>
        <w:textAlignment w:val="auto"/>
        <w:outlineLvl w:val="9"/>
        <w:rPr>
          <w:rFonts w:hint="eastAsia" w:ascii="仿宋_GB2312" w:hAnsi="Calibri" w:eastAsia="仿宋_GB2312" w:cs="黑体"/>
          <w:sz w:val="32"/>
          <w:szCs w:val="32"/>
          <w:lang w:val="en-US" w:eastAsia="zh-CN"/>
        </w:rPr>
      </w:pPr>
      <w:r>
        <w:rPr>
          <w:rFonts w:hint="eastAsia" w:ascii="仿宋_GB2312" w:hAnsi="仿宋_GB2312" w:eastAsia="仿宋_GB2312" w:cs="仿宋_GB2312"/>
          <w:b w:val="0"/>
          <w:bCs/>
          <w:color w:val="auto"/>
          <w:spacing w:val="0"/>
          <w:sz w:val="32"/>
          <w:szCs w:val="32"/>
          <w:highlight w:val="none"/>
          <w:lang w:val="en-US" w:eastAsia="zh-CN"/>
        </w:rPr>
        <w:t>全县对外贸易额2021年预计完成10亿；实际利用外资完成8万美元；内联引资预计完成24.5亿元；社会消费品零售总额完成29.5亿元；</w:t>
      </w:r>
      <w:r>
        <w:rPr>
          <w:rFonts w:hint="eastAsia" w:ascii="仿宋_GB2312" w:hAnsi="Calibri" w:eastAsia="仿宋_GB2312" w:cs="黑体"/>
          <w:sz w:val="32"/>
          <w:szCs w:val="32"/>
          <w:lang w:val="en-US" w:eastAsia="zh-CN"/>
        </w:rPr>
        <w:t>进出口总额</w:t>
      </w:r>
      <w:r>
        <w:rPr>
          <w:rFonts w:hint="eastAsia" w:ascii="仿宋_GB2312" w:eastAsia="仿宋_GB2312" w:cs="黑体"/>
          <w:sz w:val="32"/>
          <w:szCs w:val="32"/>
          <w:lang w:val="en-US" w:eastAsia="zh-CN"/>
        </w:rPr>
        <w:t>完成</w:t>
      </w:r>
      <w:r>
        <w:rPr>
          <w:rFonts w:hint="eastAsia" w:ascii="仿宋_GB2312" w:hAnsi="Calibri" w:eastAsia="仿宋_GB2312" w:cs="黑体"/>
          <w:sz w:val="32"/>
          <w:szCs w:val="32"/>
          <w:lang w:val="en-US" w:eastAsia="zh-CN"/>
        </w:rPr>
        <w:t>10亿元，实现跨越式增长。</w:t>
      </w:r>
      <w:r>
        <w:rPr>
          <w:rFonts w:hint="eastAsia" w:ascii="仿宋_GB2312" w:eastAsia="仿宋_GB2312" w:cs="黑体"/>
          <w:sz w:val="32"/>
          <w:szCs w:val="32"/>
          <w:lang w:val="en-US" w:eastAsia="zh-CN"/>
        </w:rPr>
        <w:t>2021年</w:t>
      </w:r>
      <w:r>
        <w:rPr>
          <w:rFonts w:hint="eastAsia" w:ascii="仿宋_GB2312" w:hAnsi="Calibri" w:eastAsia="仿宋_GB2312" w:cs="黑体"/>
          <w:sz w:val="32"/>
          <w:szCs w:val="32"/>
          <w:lang w:val="en-US" w:eastAsia="zh-CN"/>
        </w:rPr>
        <w:t>获得全省商务工作（外经）先进单位</w:t>
      </w:r>
      <w:r>
        <w:rPr>
          <w:rFonts w:hint="eastAsia" w:ascii="仿宋_GB2312" w:eastAsia="仿宋_GB2312" w:cs="黑体"/>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江永县对接粤港澳大湾区“菜篮子”，大力发展特色蔬菜产业，推动了蔬菜产业规模化种植、标准化生产、溯源化管理、品牌化销售、产业化经营，引导菜农科学种菜，不断推动优质蔬菜向外输出，进出口总额从2016年的0.6亿元增加至2021年的10亿元，特别是果蔬出口企业在外贸领域表现抢眼，出口额占总出口额的95%以上，水果类出口量日益增长，年均增长率超过50%，2021年江永县被评为了国家外贸转型升级基地（水果蔬菜），并获得项目资金支持，湖南省县域外贸特色产业集群试点县、并在全省重点工作综合大督查发现的典型经验做法给予表扬。</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default" w:ascii="Calibri" w:hAnsi="Calibri" w:eastAsia="仿宋_GB2312" w:cs="Calibri"/>
          <w:b/>
          <w:bCs/>
          <w:color w:val="auto"/>
          <w:kern w:val="2"/>
          <w:sz w:val="32"/>
          <w:szCs w:val="32"/>
          <w:lang w:val="en-US" w:eastAsia="zh-CN" w:bidi="ar-SA"/>
        </w:rPr>
        <w:t>②</w:t>
      </w:r>
      <w:r>
        <w:rPr>
          <w:rFonts w:hint="eastAsia" w:ascii="仿宋_GB2312" w:hAnsi="仿宋_GB2312" w:eastAsia="仿宋_GB2312" w:cs="仿宋_GB2312"/>
          <w:b/>
          <w:bCs/>
          <w:color w:val="auto"/>
          <w:kern w:val="2"/>
          <w:sz w:val="32"/>
          <w:szCs w:val="32"/>
          <w:lang w:val="en-US" w:eastAsia="zh-CN" w:bidi="ar-SA"/>
        </w:rPr>
        <w:t>招商引资工作完成情况。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left"/>
        <w:textAlignment w:val="auto"/>
        <w:outlineLvl w:val="9"/>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2021年，江永县签约项目22个，总投资额为35.22亿元。其中亿元以上项目10个，省级项目2个（江永县卓尔丰锂电池生产项目江永菲越裸眼3D显示屏生产项目），三类500强企业项目1个。已开工建设18个，竣工4个，省级签约项目已注册江永公司正在开工建设中。三类500强企业项目江永县集中式储能电站项目已注册项目公司，确定了项目选址地，省电网已审，取得省发改委争取指标，准备开工建设。二是在谈项目有序推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left"/>
        <w:textAlignment w:val="auto"/>
        <w:outlineLvl w:val="9"/>
        <w:rPr>
          <w:rFonts w:hint="eastAsia" w:ascii="仿宋_GB2312" w:hAnsi="Calibri" w:eastAsia="仿宋_GB2312" w:cs="黑体"/>
          <w:kern w:val="2"/>
          <w:sz w:val="32"/>
          <w:szCs w:val="32"/>
          <w:lang w:val="en-US" w:eastAsia="zh-CN" w:bidi="ar-SA"/>
        </w:rPr>
      </w:pPr>
      <w:r>
        <w:rPr>
          <w:rFonts w:hint="eastAsia" w:ascii="仿宋_GB2312" w:hAnsi="Calibri" w:eastAsia="仿宋_GB2312" w:cs="黑体"/>
          <w:kern w:val="2"/>
          <w:sz w:val="32"/>
          <w:szCs w:val="32"/>
          <w:lang w:val="en-US" w:eastAsia="zh-CN" w:bidi="ar-SA"/>
        </w:rPr>
        <w:t>2021年，由县委县政府主要领导带队外出招商考察9次，每月接待来江永客商4批次左右，对接企业数超过40家，目前正在洽谈的企业有3家。其中与湖南京度供应链管理有限公司、三峡电能（安微）有限公司三方签订框架协议会，项目已成立指挥部，针对项目落地涉及到的要素保障，正在有序推进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从严从实抓好党建工作，强化组织保障。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left"/>
        <w:textAlignment w:val="auto"/>
        <w:outlineLvl w:val="9"/>
        <w:rPr>
          <w:rFonts w:hint="eastAsia" w:ascii="仿宋_GB2312" w:hAnsi="宋体" w:eastAsia="仿宋_GB2312"/>
          <w:color w:val="auto"/>
          <w:sz w:val="32"/>
          <w:szCs w:val="32"/>
          <w:lang w:eastAsia="zh-CN"/>
        </w:rPr>
      </w:pPr>
      <w:r>
        <w:rPr>
          <w:rFonts w:hint="eastAsia" w:ascii="仿宋_GB2312" w:hAnsi="仿宋_GB2312" w:eastAsia="仿宋_GB2312" w:cs="仿宋_GB2312"/>
          <w:b w:val="0"/>
          <w:bCs/>
          <w:color w:val="auto"/>
          <w:spacing w:val="0"/>
          <w:sz w:val="32"/>
          <w:szCs w:val="32"/>
          <w:highlight w:val="none"/>
          <w:lang w:val="en-US" w:eastAsia="zh-CN"/>
        </w:rPr>
        <w:t>党组紧紧抓住基层党组织战斗堡垒作用和党员的先锋模范带头作用建设，努力创建“三星”级机关党支部，调动和激发党员干事。积极开展党的教育、管理等工作，坚持了党章党纪党规学习，坚持积极开展每月“主题党日”活动，“三会一课”、主题教育等学习教育和研讨活动，将党建工作与各项工作目标任务有机结合起来，突出党建引领作用。一是向扶贫联系村甘益村派出精兵强将狠抓乡村振兴工作，组织党员开展“学史力行见行动、环境卫生我先行”主题党日活动，助力乡村振兴工作健康发展；二是以纪律教育学习活动为主要抓手，通过领导干部上廉政党课，观看党风廉政教育片，参观廉政教育文化基地、禁毒基地等形式，不断充实党员干部的精神生活，充分发挥警示作用，筑牢党员干部拒腐防变的思想防线。三是以建党一百周年为契机，大力开展党史学习教育，通过开党课、邀请</w:t>
      </w:r>
      <w:bookmarkStart w:id="0" w:name="_GoBack"/>
      <w:bookmarkEnd w:id="0"/>
      <w:r>
        <w:rPr>
          <w:rFonts w:hint="eastAsia" w:ascii="仿宋_GB2312" w:hAnsi="仿宋_GB2312" w:eastAsia="仿宋_GB2312" w:cs="仿宋_GB2312"/>
          <w:b w:val="0"/>
          <w:bCs/>
          <w:color w:val="auto"/>
          <w:spacing w:val="0"/>
          <w:sz w:val="32"/>
          <w:szCs w:val="32"/>
          <w:highlight w:val="none"/>
          <w:lang w:val="en-US" w:eastAsia="zh-CN"/>
        </w:rPr>
        <w:t>县委专家宣传团开展党史宣讲活动、观看党史影视、实地参观红色教育基地等方式，重温了党的百年光辉历程，进一步深刻感悟了党的初心使命，促使广大党员干部自觉学习优秀的革命先烈身上不怕牺牲、无私奉献的大无畏精神和艰苦奋斗的优良工作作风，提高了政治站位，提高了履职能力。今年荣获“先进基层党组织”称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全面落实“两个责任”，深入推动党风廉政建设。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切实抓好“两个责任”的落实，促进单位党风廉政建设。　　　　党组书记认真履行第一责任人责任，领导班子成员认真履行了一岗双责，认真学习贯彻中央、省委、市委、县委关于党风廉政建设和反腐败工作的部署要求，认真做好学习传达、研究谋划、安排部署、责任分解、督促落实等组织领导工作，健全完善各项制度。不定期主持召开党组会议，认真研究部署党风廉政建设和反腐败工作，将党风廉政建设工作与本单位业务工作同安排、同部署、同监督，促进工作落实。局党组带头遵守党的纪律特别是政治纪律和政治规矩，带头落实中央八项规定和省、市、县作风建设规定，全力支持纪检监察工作,主动接受纪检组的监督,将党风廉政建设和反腐倡廉工作的责任和任务进行了分解细化，把任务分解落实到领导班子成员、责任股室、二级机构，积极开展干部队伍作风突出问题专项整治工作，每月开展自查自纠整改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lang w:eastAsia="zh-CN"/>
        </w:rPr>
        <w:t>狠抓意识形态工作，推进单位和企业文化建设。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局党组高度重视意识形态工作，精心组织，统筹谋划，多举措狠抓意识形态工作。一是及时召开全体干部职工会议学习传达党中央及各级党委、政府关于意识形态工作、党史学习教育、精神文明建设、违规饮酒典型案例通报等相关文件精神，不断提高各干部职工思想认识，为有效开展我局意识形态工作奠定了坚实的思想理论基础。二是进一步建立健全了工作机制，组建了工作队伍，安排了专人负责意识形态工作，确保该项工作能高效有序开展。三是认真抓好了党组理论中心组学习，成功开展了“学史明理”、“学史增信”、“学史崇德”、“学史力行”等四个专题学习，学习了习近平新时代中国特色社会主义思想、习近平总书记在</w:t>
      </w:r>
      <w:r>
        <w:rPr>
          <w:rFonts w:hint="eastAsia" w:ascii="仿宋_GB2312" w:hAnsi="宋体" w:eastAsia="仿宋_GB2312"/>
          <w:color w:val="auto"/>
          <w:sz w:val="32"/>
          <w:szCs w:val="32"/>
          <w:lang w:val="en-US" w:eastAsia="zh-CN"/>
        </w:rPr>
        <w:t>中国共产党成立</w:t>
      </w:r>
      <w:r>
        <w:rPr>
          <w:rFonts w:hint="eastAsia" w:ascii="仿宋_GB2312" w:hAnsi="宋体" w:eastAsia="仿宋_GB2312"/>
          <w:color w:val="auto"/>
          <w:sz w:val="32"/>
          <w:szCs w:val="32"/>
          <w:lang w:eastAsia="zh-CN"/>
        </w:rPr>
        <w:t>100周年大会上重要讲话精神及考察西藏、福建重要讲话精神等，提高了领导班子的知识理论水平，增强了政治素养。使领导班子学有所悟、所思、所用，统一了思想，拓展了思路。四是积极组织开展“我为群众办实事”活动，为部分企业协调解决了一些经营、融资方面等难题，通过科技下乡、电商培训、直播带货等方式帮助农村种植户解决产品销路难题等，用实际行动践行了为人民服务的根本宗旨，提高了群众的幸福感，推动了党史学习教育走深走实。五是充分利用电子显示屏、院内展板、张贴横幅标语等方式大力开展了意识形态宣传教育，营造浓厚的工作氛围，保障了意识形态工作的顺利开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lang w:eastAsia="zh-CN"/>
        </w:rPr>
        <w:t>全力抓好信访维稳工作，夯实安全生产责任。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局党组深入学习贯彻落实习近平总书记关于安全生产重要论述，</w:t>
      </w:r>
      <w:r>
        <w:rPr>
          <w:rFonts w:hint="default" w:ascii="仿宋_GB2312" w:hAnsi="宋体" w:eastAsia="仿宋_GB2312"/>
          <w:color w:val="auto"/>
          <w:sz w:val="32"/>
          <w:szCs w:val="32"/>
          <w:lang w:eastAsia="zh-CN"/>
        </w:rPr>
        <w:t>把安全生产、疫情防控和信访维稳工作作为当前工作的重中之重，抓实抓细，确保全</w:t>
      </w:r>
      <w:r>
        <w:rPr>
          <w:rFonts w:hint="eastAsia" w:ascii="仿宋_GB2312" w:hAnsi="宋体" w:eastAsia="仿宋_GB2312"/>
          <w:color w:val="auto"/>
          <w:sz w:val="32"/>
          <w:szCs w:val="32"/>
          <w:lang w:eastAsia="zh-CN"/>
        </w:rPr>
        <w:t>单位、分管领域的</w:t>
      </w:r>
      <w:r>
        <w:rPr>
          <w:rFonts w:hint="default" w:ascii="仿宋_GB2312" w:hAnsi="宋体" w:eastAsia="仿宋_GB2312"/>
          <w:color w:val="auto"/>
          <w:sz w:val="32"/>
          <w:szCs w:val="32"/>
          <w:lang w:eastAsia="zh-CN"/>
        </w:rPr>
        <w:t>安全稳定和谐</w:t>
      </w:r>
      <w:r>
        <w:rPr>
          <w:rFonts w:hint="eastAsia" w:ascii="仿宋_GB2312" w:hAnsi="宋体" w:eastAsia="仿宋_GB2312"/>
          <w:color w:val="auto"/>
          <w:sz w:val="32"/>
          <w:szCs w:val="32"/>
          <w:lang w:eastAsia="zh-CN"/>
        </w:rPr>
        <w:t>。在综治信访维稳工作开展，紧紧围绕我县平安建设和保持社会大局稳定，切实维护权利人的合法权益，认真开展了综治信访维稳和平安建设工作，确保了全年无人赴省越级上访目标。一是积极探索原水泥有限公司职工187人多年的信访诉求，成立原水泥有限责任公司遗留问题处置工作指挥部，制定处置工信方案，优惠优先购买大岗头廉租房，经处置有98人报名抽签购买。二是摸排、化解矛盾纠纷隐患，耐心、细致做高晓燕等信访人政策和思想工作，基本稳控了信访人情绪；三是确保了“两会”、国庆中秋、党的百年华诞等重大节点未发生越级赴省、赴京上访。在安全生产工作开展，主要抓了工贸行业领域里的安全生产和消防安全工作，实现了全县工贸行业安全生产（消防）“三坚决两确保”目标。一是与生产、经营企业签订安全（消防）生产责任状，坚持日常监管，建立了常态化管理机制。二是认真履行道路交通问题顽瘅固疾整治工作职责，担当起集贸市场、二手车、5家混凝土搅拌企业等的源头治理。三是建立起成品油流通市场“打非治违”的长效机制，重点整治石场、校车公司、沥青站、搅拌站、砖厂等非法用油储油问题，确保全县成品油流通市场良好秩序。四是加大电力设施保护和安全隐患治理，保障了全县电力安全与生产生活供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lang w:eastAsia="zh-CN"/>
        </w:rPr>
        <w:t>坚定信心</w:t>
      </w:r>
      <w:r>
        <w:rPr>
          <w:rFonts w:hint="eastAsia" w:ascii="仿宋" w:hAnsi="仿宋" w:eastAsia="仿宋" w:cs="仿宋"/>
          <w:b/>
          <w:bCs/>
          <w:color w:val="auto"/>
          <w:sz w:val="32"/>
          <w:szCs w:val="32"/>
          <w:lang w:val="en-US" w:eastAsia="zh-CN"/>
        </w:rPr>
        <w:t>真抓实干，确保疫情防控落实到位。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仿宋_GB2312" w:hAnsi="宋体" w:eastAsia="仿宋_GB2312"/>
          <w:color w:val="auto"/>
          <w:sz w:val="32"/>
          <w:szCs w:val="32"/>
          <w:lang w:val="en-US" w:eastAsia="zh-CN"/>
        </w:rPr>
        <w:t>抓疫情防控，一是紧抓疫情防控并积极推动企业正常生产。制定一对一责任领导帮扶行动，保证企业疫情防控物质，帮助企业克服生产经营困难，有力地促进了企业稳步快速发展。二是筛查工作保障无一纰漏。我局在疫情防控期间，协助负责全县信息筛查工作，积极落实疫情防控工作常态化，每日核实排查市防控办下发的境外入永人员信息，高、中风险地区入湘人员信息。三是牵头负责物质保障最重要的防控统筹工作，以保障实物储备应急全县防疫防控为目标，发挥承储企业的采购储备作用，结合江永实际，实物储备主要储备县人民医院适用的医用防护服、防护口罩、防护帽、手套、医用酒精、消毒液等医疗防护物资，保障县人民医院10天的实物储备量，同时，县科工局实物采购、储备和轮换一定的能满足应急全县高考、敬老院、旅游景点、会议等需求的一次性医用口罩、84消毒液、75%酒精消毒液、测温仪等防护物资。保障了全县疫情防控一线人员的口罩、物资。</w:t>
      </w:r>
    </w:p>
    <w:p>
      <w:pPr>
        <w:keepNext w:val="0"/>
        <w:keepLines w:val="0"/>
        <w:pageBreakBefore w:val="0"/>
        <w:widowControl/>
        <w:kinsoku/>
        <w:wordWrap/>
        <w:overflowPunct/>
        <w:topLinePunct w:val="0"/>
        <w:autoSpaceDN/>
        <w:bidi w:val="0"/>
        <w:adjustRightInd/>
        <w:snapToGrid/>
        <w:spacing w:line="560" w:lineRule="exact"/>
        <w:textAlignment w:val="auto"/>
        <w:rPr>
          <w:rFonts w:hint="eastAsia" w:eastAsia="仿宋_GB2312"/>
          <w:sz w:val="32"/>
          <w:szCs w:val="32"/>
        </w:rPr>
      </w:pPr>
      <w:r>
        <w:rPr>
          <w:rFonts w:hint="eastAsia" w:eastAsia="仿宋_GB2312"/>
          <w:sz w:val="32"/>
          <w:szCs w:val="32"/>
        </w:rPr>
        <w:t xml:space="preserve">   </w:t>
      </w:r>
      <w:r>
        <w:rPr>
          <w:rFonts w:hint="eastAsia" w:ascii="楷体" w:hAnsi="楷体" w:eastAsia="楷体" w:cs="楷体"/>
          <w:b/>
          <w:bCs/>
          <w:sz w:val="32"/>
          <w:szCs w:val="32"/>
        </w:rPr>
        <w:t>（四）社会效应方面</w:t>
      </w:r>
    </w:p>
    <w:p>
      <w:pPr>
        <w:keepNext w:val="0"/>
        <w:keepLines w:val="0"/>
        <w:pageBreakBefore w:val="0"/>
        <w:widowControl/>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b w:val="0"/>
          <w:bCs/>
          <w:color w:val="auto"/>
          <w:spacing w:val="0"/>
          <w:sz w:val="32"/>
          <w:szCs w:val="32"/>
          <w:highlight w:val="none"/>
          <w:lang w:val="en-US" w:eastAsia="zh-CN"/>
        </w:rPr>
      </w:pP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年以来，</w:t>
      </w:r>
      <w:r>
        <w:rPr>
          <w:rFonts w:hint="eastAsia" w:ascii="仿宋_GB2312" w:hAnsi="宋体" w:eastAsia="仿宋_GB2312"/>
          <w:color w:val="auto"/>
          <w:sz w:val="32"/>
          <w:szCs w:val="32"/>
          <w:lang w:eastAsia="zh-CN"/>
        </w:rPr>
        <w:t>县科工局</w:t>
      </w:r>
      <w:r>
        <w:rPr>
          <w:rFonts w:hint="eastAsia" w:ascii="仿宋_GB2312" w:hAnsi="宋体" w:eastAsia="仿宋_GB2312"/>
          <w:color w:val="auto"/>
          <w:sz w:val="32"/>
          <w:szCs w:val="32"/>
        </w:rPr>
        <w:t>在县委、县政府</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正确领导下，</w:t>
      </w:r>
      <w:r>
        <w:rPr>
          <w:rFonts w:hint="eastAsia" w:ascii="仿宋_GB2312" w:hAnsi="宋体" w:eastAsia="仿宋_GB2312"/>
          <w:color w:val="auto"/>
          <w:sz w:val="32"/>
          <w:szCs w:val="32"/>
          <w:lang w:eastAsia="zh-CN"/>
        </w:rPr>
        <w:t>坚持</w:t>
      </w:r>
      <w:r>
        <w:rPr>
          <w:rFonts w:hint="eastAsia" w:ascii="仿宋_GB2312" w:hAnsi="宋体" w:eastAsia="仿宋_GB2312"/>
          <w:color w:val="auto"/>
          <w:sz w:val="32"/>
          <w:szCs w:val="32"/>
        </w:rPr>
        <w:t>以习近平新时代中国特色社会主义思想为指导，深入学习贯彻习近平总书记考察湖南重要讲话精神，全面贯彻落实“十三五”规划、党的十九大精神，认真学习“十四五”规划精神要义，紧紧围绕县委经济工作会议关于经济社会发展的预期目标任务，突出全面培育转型发展新动能、全面构建经济发展新格局等六个方面重点任务，稳步推进工业、科技和开放型经济有关工作，</w:t>
      </w:r>
      <w:r>
        <w:rPr>
          <w:rFonts w:hint="eastAsia" w:ascii="仿宋_GB2312" w:hAnsi="宋体" w:eastAsia="仿宋_GB2312"/>
          <w:color w:val="auto"/>
          <w:sz w:val="32"/>
          <w:szCs w:val="32"/>
          <w:lang w:eastAsia="zh-CN"/>
        </w:rPr>
        <w:t>全面</w:t>
      </w:r>
      <w:r>
        <w:rPr>
          <w:rFonts w:hint="eastAsia" w:ascii="仿宋_GB2312" w:hAnsi="宋体" w:eastAsia="仿宋_GB2312"/>
          <w:color w:val="auto"/>
          <w:sz w:val="32"/>
          <w:szCs w:val="32"/>
        </w:rPr>
        <w:t>完成</w:t>
      </w:r>
      <w:r>
        <w:rPr>
          <w:rFonts w:hint="eastAsia" w:ascii="仿宋_GB2312" w:hAnsi="宋体" w:eastAsia="仿宋_GB2312"/>
          <w:color w:val="auto"/>
          <w:sz w:val="32"/>
          <w:szCs w:val="32"/>
          <w:lang w:eastAsia="zh-CN"/>
        </w:rPr>
        <w:t>了</w:t>
      </w:r>
      <w:r>
        <w:rPr>
          <w:rFonts w:hint="eastAsia" w:ascii="仿宋_GB2312" w:hAnsi="宋体" w:eastAsia="仿宋_GB2312"/>
          <w:color w:val="auto"/>
          <w:sz w:val="32"/>
          <w:szCs w:val="32"/>
        </w:rPr>
        <w:t>各项工作任务。</w:t>
      </w:r>
      <w:r>
        <w:rPr>
          <w:rFonts w:hint="eastAsia" w:ascii="仿宋_GB2312" w:hAnsi="宋体" w:eastAsia="仿宋_GB2312"/>
          <w:color w:val="auto"/>
          <w:sz w:val="32"/>
          <w:szCs w:val="32"/>
          <w:lang w:val="en-US" w:eastAsia="zh-CN"/>
        </w:rPr>
        <w:t>2021年，县科工局</w:t>
      </w:r>
      <w:r>
        <w:rPr>
          <w:rFonts w:hint="eastAsia" w:ascii="仿宋_GB2312" w:hAnsi="仿宋_GB2312" w:eastAsia="仿宋_GB2312" w:cs="仿宋_GB2312"/>
          <w:b w:val="0"/>
          <w:bCs/>
          <w:color w:val="auto"/>
          <w:spacing w:val="0"/>
          <w:sz w:val="32"/>
          <w:szCs w:val="32"/>
          <w:highlight w:val="none"/>
          <w:lang w:val="en-US" w:eastAsia="zh-CN"/>
        </w:rPr>
        <w:t>被评为全省工业经济运行监测协调工作先进单位。</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（五）可持续发展能力方面</w:t>
      </w:r>
    </w:p>
    <w:p>
      <w:pPr>
        <w:keepNext w:val="0"/>
        <w:keepLines w:val="0"/>
        <w:pageBreakBefore w:val="0"/>
        <w:widowControl/>
        <w:kinsoku/>
        <w:wordWrap/>
        <w:overflowPunct/>
        <w:topLinePunct w:val="0"/>
        <w:autoSpaceDN/>
        <w:bidi w:val="0"/>
        <w:adjustRightInd/>
        <w:snapToGrid/>
        <w:spacing w:line="560" w:lineRule="exact"/>
        <w:textAlignment w:val="auto"/>
        <w:rPr>
          <w:rFonts w:hint="eastAsia" w:eastAsia="仿宋_GB2312"/>
          <w:sz w:val="32"/>
          <w:szCs w:val="32"/>
        </w:rPr>
      </w:pPr>
      <w:r>
        <w:rPr>
          <w:rFonts w:hint="eastAsia" w:eastAsia="仿宋_GB2312"/>
          <w:sz w:val="32"/>
          <w:szCs w:val="32"/>
        </w:rPr>
        <w:t xml:space="preserve">    我单位的基本支出及项目支出，均是当年的支出，可持续影响年限为一年。</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（六）服务对象满意度方面</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经对来我单位办事的</w:t>
      </w:r>
      <w:r>
        <w:rPr>
          <w:rFonts w:hint="eastAsia" w:eastAsia="仿宋_GB2312"/>
          <w:sz w:val="32"/>
          <w:szCs w:val="32"/>
          <w:lang w:val="en-US" w:eastAsia="zh-CN"/>
        </w:rPr>
        <w:t>20</w:t>
      </w:r>
      <w:r>
        <w:rPr>
          <w:rFonts w:hint="eastAsia" w:eastAsia="仿宋_GB2312"/>
          <w:sz w:val="32"/>
          <w:szCs w:val="32"/>
        </w:rPr>
        <w:t>名群众进行问卷调查，群众对来我单位办事的服务满意度为</w:t>
      </w:r>
      <w:r>
        <w:rPr>
          <w:rFonts w:hint="eastAsia" w:eastAsia="仿宋_GB2312"/>
          <w:sz w:val="32"/>
          <w:szCs w:val="32"/>
          <w:lang w:val="en-US" w:eastAsia="zh-CN"/>
        </w:rPr>
        <w:t>100</w:t>
      </w:r>
      <w:r>
        <w:rPr>
          <w:rFonts w:hint="eastAsia" w:eastAsia="仿宋_GB2312"/>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七、存在的问题及原因分析</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一是</w:t>
      </w:r>
      <w:r>
        <w:rPr>
          <w:rFonts w:hint="eastAsia" w:eastAsia="仿宋_GB2312"/>
          <w:sz w:val="32"/>
          <w:szCs w:val="32"/>
          <w:lang w:eastAsia="zh-CN"/>
        </w:rPr>
        <w:t>经济运行压力加大。由于受新冠疫情的持续影响，加上</w:t>
      </w:r>
      <w:r>
        <w:rPr>
          <w:rFonts w:hint="eastAsia" w:eastAsia="仿宋_GB2312"/>
          <w:sz w:val="32"/>
          <w:szCs w:val="32"/>
        </w:rPr>
        <w:t>经济仍在调整转型，风险挑战明显上升，一些实体经济困难重重，部分传统产业面临经营困境。</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rPr>
        <w:t>二是</w:t>
      </w:r>
      <w:r>
        <w:rPr>
          <w:rFonts w:hint="eastAsia" w:eastAsia="仿宋_GB2312"/>
          <w:sz w:val="32"/>
          <w:szCs w:val="32"/>
          <w:lang w:eastAsia="zh-CN"/>
        </w:rPr>
        <w:t>招商引资困难重重</w:t>
      </w:r>
      <w:r>
        <w:rPr>
          <w:rFonts w:hint="eastAsia" w:eastAsia="仿宋_GB2312"/>
          <w:sz w:val="32"/>
          <w:szCs w:val="32"/>
        </w:rPr>
        <w:t>。</w:t>
      </w:r>
      <w:r>
        <w:rPr>
          <w:rFonts w:hint="eastAsia" w:eastAsia="仿宋_GB2312"/>
          <w:sz w:val="32"/>
          <w:szCs w:val="32"/>
          <w:lang w:eastAsia="zh-CN"/>
        </w:rPr>
        <w:t>我县地处湘南边陲，交通不便，无地理优势，对外商吸引力不大，与周边县区相比，还存在明显的劣势。</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八、下一步改进措施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（一）持续优化营商环境，提升服务效能。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认真落实国家、省、市、县扶持工业发展的各项优惠政策，积极向上争取资金，重点支持龙头企业，大力促进经济转型升级，助力江永企业做大做强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（二）做强外贸主体，着力招大引强。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在招商引资中突出引进外贸实体企业，发挥江永农产品优势。加快消费扩大升级，依托节庆活动引导居民消费，举办旅游美食文化节系列活动，进一步拉动内需。</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九、绩效自评结果拟应用和公开情况</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根据上级规定，我单位将在江永政府网公示绩效自评</w:t>
      </w:r>
      <w:r>
        <w:rPr>
          <w:rFonts w:hint="eastAsia" w:eastAsia="仿宋_GB2312"/>
          <w:sz w:val="32"/>
          <w:szCs w:val="32"/>
          <w:lang w:eastAsia="zh-CN"/>
        </w:rPr>
        <w:t>结果</w:t>
      </w:r>
      <w:r>
        <w:rPr>
          <w:rFonts w:hint="eastAsia" w:eastAsia="仿宋_GB2312"/>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十、其他需要说明的情况</w:t>
      </w:r>
    </w:p>
    <w:p>
      <w:pPr>
        <w:keepNext w:val="0"/>
        <w:keepLines w:val="0"/>
        <w:pageBreakBefore w:val="0"/>
        <w:widowControl/>
        <w:kinsoku/>
        <w:wordWrap/>
        <w:overflowPunct/>
        <w:topLinePunct w:val="0"/>
        <w:autoSpaceDN/>
        <w:bidi w:val="0"/>
        <w:adjustRightInd/>
        <w:snapToGrid/>
        <w:spacing w:line="560" w:lineRule="exact"/>
        <w:textAlignment w:val="auto"/>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无。</w:t>
      </w:r>
    </w:p>
    <w:p>
      <w:pPr>
        <w:widowControl/>
        <w:rPr>
          <w:rFonts w:hint="eastAsia" w:eastAsia="仿宋_GB2312"/>
          <w:sz w:val="32"/>
          <w:szCs w:val="32"/>
        </w:rPr>
      </w:pPr>
    </w:p>
    <w:p>
      <w:pPr>
        <w:widowControl/>
        <w:rPr>
          <w:rFonts w:hint="eastAsia" w:eastAsia="仿宋_GB2312"/>
          <w:sz w:val="32"/>
          <w:szCs w:val="32"/>
        </w:rPr>
      </w:pPr>
      <w:r>
        <w:rPr>
          <w:rFonts w:hint="eastAsia" w:eastAsia="仿宋_GB2312"/>
          <w:sz w:val="32"/>
          <w:szCs w:val="32"/>
        </w:rPr>
        <w:t xml:space="preserve"> </w:t>
      </w: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pPr>
        <w:widowControl/>
        <w:rPr>
          <w:rFonts w:hint="eastAsia" w:ascii="黑体" w:hAnsi="黑体" w:eastAsia="黑体" w:cs="黑体"/>
          <w:sz w:val="32"/>
          <w:szCs w:val="32"/>
        </w:rPr>
      </w:pPr>
    </w:p>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OWJiMDgxYTE2ZWNlZDBkM2Y1MjhlNjI0MzA0NzUifQ=="/>
  </w:docVars>
  <w:rsids>
    <w:rsidRoot w:val="1DE26AFC"/>
    <w:rsid w:val="111F5B8F"/>
    <w:rsid w:val="15033996"/>
    <w:rsid w:val="184D45B0"/>
    <w:rsid w:val="1DE26AFC"/>
    <w:rsid w:val="1ECA72A4"/>
    <w:rsid w:val="20880EA7"/>
    <w:rsid w:val="23791044"/>
    <w:rsid w:val="269846ED"/>
    <w:rsid w:val="2CF452A6"/>
    <w:rsid w:val="2F400362"/>
    <w:rsid w:val="30DC4C6C"/>
    <w:rsid w:val="37356E59"/>
    <w:rsid w:val="42FD39B8"/>
    <w:rsid w:val="44E27DBA"/>
    <w:rsid w:val="45136CA4"/>
    <w:rsid w:val="471E3B93"/>
    <w:rsid w:val="4A8D4368"/>
    <w:rsid w:val="4BEC43EA"/>
    <w:rsid w:val="4F787A17"/>
    <w:rsid w:val="50ED0CCB"/>
    <w:rsid w:val="50FD327B"/>
    <w:rsid w:val="53A95397"/>
    <w:rsid w:val="56C321A3"/>
    <w:rsid w:val="58240FC6"/>
    <w:rsid w:val="5A7A29E4"/>
    <w:rsid w:val="65BE5646"/>
    <w:rsid w:val="67556B3C"/>
    <w:rsid w:val="67CA0B6C"/>
    <w:rsid w:val="6B234BD6"/>
    <w:rsid w:val="6E860BE1"/>
    <w:rsid w:val="6E9B7F61"/>
    <w:rsid w:val="6FE20B95"/>
    <w:rsid w:val="74641740"/>
    <w:rsid w:val="7D98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afterLines="0"/>
      <w:jc w:val="both"/>
    </w:pPr>
    <w:rPr>
      <w:rFonts w:ascii="Times New Roman" w:hAnsi="Times New Roman" w:eastAsia="宋体" w:cs="黑体"/>
      <w:kern w:val="2"/>
      <w:sz w:val="21"/>
      <w:szCs w:val="24"/>
      <w:lang w:val="en-US" w:eastAsia="zh-CN" w:bidi="ar-SA"/>
    </w:rPr>
  </w:style>
  <w:style w:type="paragraph" w:styleId="3">
    <w:name w:val="List Paragraph"/>
    <w:basedOn w:val="1"/>
    <w:qFormat/>
    <w:uiPriority w:val="99"/>
    <w:pPr>
      <w:ind w:firstLine="420" w:firstLineChars="200"/>
    </w:pPr>
    <w:rPr>
      <w:rFonts w:ascii="Calibri" w:hAnsi="Calibri" w:eastAsia="宋体" w:cs="Times New Roman"/>
      <w:szCs w:val="22"/>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0"/>
    <w:pPr>
      <w:ind w:firstLine="420" w:firstLineChars="200"/>
    </w:pPr>
  </w:style>
  <w:style w:type="character" w:styleId="12">
    <w:name w:val="Hyperlink"/>
    <w:basedOn w:val="11"/>
    <w:qFormat/>
    <w:uiPriority w:val="0"/>
    <w:rPr>
      <w:color w:val="0000FF"/>
      <w:u w:val="single"/>
    </w:rPr>
  </w:style>
  <w:style w:type="paragraph" w:customStyle="1" w:styleId="13">
    <w:name w:val="p0"/>
    <w:basedOn w:val="1"/>
    <w:qFormat/>
    <w:uiPriority w:val="99"/>
    <w:pPr>
      <w:widowControl/>
    </w:pPr>
    <w:rPr>
      <w:rFonts w:ascii="Times New Roman" w:hAnsi="Times New Roman"/>
      <w:kern w:val="0"/>
      <w:szCs w:val="21"/>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8600</Words>
  <Characters>8849</Characters>
  <Lines>0</Lines>
  <Paragraphs>0</Paragraphs>
  <TotalTime>10</TotalTime>
  <ScaleCrop>false</ScaleCrop>
  <LinksUpToDate>false</LinksUpToDate>
  <CharactersWithSpaces>8890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大河</cp:lastModifiedBy>
  <cp:lastPrinted>2022-05-06T00:01:00Z</cp:lastPrinted>
  <dcterms:modified xsi:type="dcterms:W3CDTF">2023-06-20T01:36:00Z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61C0BA961D9D44C498CA4E4B7E45C7A8</vt:lpwstr>
  </property>
</Properties>
</file>