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kern w:val="0"/>
          <w:sz w:val="32"/>
          <w:szCs w:val="32"/>
          <w:highlight w:val="none"/>
        </w:rPr>
      </w:pPr>
    </w:p>
    <w:p>
      <w:pPr>
        <w:jc w:val="center"/>
        <w:rPr>
          <w:rFonts w:hint="eastAsia" w:ascii="宋体" w:hAnsi="宋体" w:eastAsia="宋体" w:cs="宋体"/>
          <w:sz w:val="48"/>
          <w:szCs w:val="48"/>
          <w:highlight w:val="none"/>
        </w:rPr>
      </w:pPr>
      <w:bookmarkStart w:id="0" w:name="_GoBack"/>
      <w:r>
        <w:rPr>
          <w:rFonts w:hint="eastAsia" w:ascii="宋体" w:hAnsi="宋体" w:eastAsia="宋体" w:cs="宋体"/>
          <w:sz w:val="48"/>
          <w:szCs w:val="48"/>
          <w:highlight w:val="none"/>
          <w:lang w:eastAsia="zh-CN"/>
        </w:rPr>
        <w:t>202</w:t>
      </w:r>
      <w:r>
        <w:rPr>
          <w:rFonts w:hint="default" w:ascii="宋体" w:hAnsi="宋体" w:cs="宋体"/>
          <w:sz w:val="48"/>
          <w:szCs w:val="48"/>
          <w:highlight w:val="none"/>
          <w:lang w:val="en-US" w:eastAsia="zh-CN"/>
        </w:rPr>
        <w:t>2</w:t>
      </w:r>
      <w:r>
        <w:rPr>
          <w:rFonts w:hint="eastAsia" w:ascii="宋体" w:hAnsi="宋体" w:eastAsia="宋体" w:cs="宋体"/>
          <w:sz w:val="48"/>
          <w:szCs w:val="48"/>
          <w:highlight w:val="none"/>
        </w:rPr>
        <w:t>年度</w:t>
      </w:r>
      <w:r>
        <w:rPr>
          <w:rFonts w:hint="eastAsia" w:ascii="宋体" w:hAnsi="宋体" w:eastAsia="宋体" w:cs="宋体"/>
          <w:sz w:val="48"/>
          <w:szCs w:val="48"/>
          <w:highlight w:val="none"/>
          <w:lang w:eastAsia="zh-CN"/>
        </w:rPr>
        <w:t>江永</w:t>
      </w:r>
      <w:r>
        <w:rPr>
          <w:rFonts w:hint="eastAsia" w:ascii="宋体" w:hAnsi="宋体" w:cs="宋体"/>
          <w:sz w:val="48"/>
          <w:szCs w:val="48"/>
          <w:highlight w:val="none"/>
          <w:lang w:eastAsia="zh-CN"/>
        </w:rPr>
        <w:t>交通警察大队</w:t>
      </w:r>
      <w:r>
        <w:rPr>
          <w:rFonts w:hint="eastAsia" w:ascii="宋体" w:hAnsi="宋体" w:eastAsia="宋体" w:cs="宋体"/>
          <w:sz w:val="48"/>
          <w:szCs w:val="48"/>
          <w:highlight w:val="none"/>
        </w:rPr>
        <w:t>整体支出绩效自评报告</w:t>
      </w:r>
    </w:p>
    <w:bookmarkEnd w:id="0"/>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ind w:firstLine="880" w:firstLineChars="200"/>
        <w:jc w:val="center"/>
        <w:rPr>
          <w:rFonts w:eastAsia="黑体"/>
          <w:sz w:val="44"/>
          <w:szCs w:val="44"/>
          <w:highlight w:val="none"/>
        </w:rPr>
      </w:pPr>
    </w:p>
    <w:p>
      <w:pPr>
        <w:ind w:firstLine="880" w:firstLineChars="200"/>
        <w:jc w:val="center"/>
        <w:rPr>
          <w:rFonts w:eastAsia="黑体"/>
          <w:sz w:val="44"/>
          <w:szCs w:val="44"/>
          <w:highlight w:val="none"/>
        </w:rPr>
      </w:pPr>
    </w:p>
    <w:p>
      <w:pPr>
        <w:ind w:firstLine="880" w:firstLineChars="200"/>
        <w:jc w:val="center"/>
        <w:rPr>
          <w:rFonts w:eastAsia="黑体"/>
          <w:sz w:val="44"/>
          <w:szCs w:val="44"/>
          <w:highlight w:val="none"/>
        </w:rPr>
      </w:pPr>
    </w:p>
    <w:p>
      <w:pPr>
        <w:ind w:firstLine="720" w:firstLineChars="200"/>
        <w:jc w:val="center"/>
        <w:rPr>
          <w:rFonts w:eastAsia="黑体"/>
          <w:sz w:val="36"/>
          <w:szCs w:val="36"/>
          <w:highlight w:val="none"/>
        </w:rPr>
      </w:pPr>
    </w:p>
    <w:p>
      <w:pPr>
        <w:ind w:firstLine="720" w:firstLineChars="200"/>
        <w:jc w:val="both"/>
        <w:rPr>
          <w:rFonts w:eastAsia="黑体"/>
          <w:sz w:val="36"/>
          <w:szCs w:val="36"/>
          <w:highlight w:val="none"/>
        </w:rPr>
      </w:pPr>
    </w:p>
    <w:p>
      <w:pPr>
        <w:ind w:firstLine="720" w:firstLineChars="200"/>
        <w:jc w:val="both"/>
        <w:rPr>
          <w:rFonts w:eastAsia="黑体"/>
          <w:sz w:val="36"/>
          <w:szCs w:val="36"/>
          <w:highlight w:val="none"/>
        </w:rPr>
      </w:pPr>
    </w:p>
    <w:p>
      <w:pPr>
        <w:ind w:firstLine="720" w:firstLineChars="200"/>
        <w:jc w:val="both"/>
        <w:rPr>
          <w:rFonts w:eastAsia="黑体"/>
          <w:sz w:val="36"/>
          <w:szCs w:val="36"/>
          <w:highlight w:val="none"/>
        </w:rPr>
      </w:pPr>
    </w:p>
    <w:p>
      <w:pPr>
        <w:ind w:firstLine="720" w:firstLineChars="200"/>
        <w:jc w:val="both"/>
        <w:rPr>
          <w:rFonts w:eastAsia="黑体"/>
          <w:sz w:val="36"/>
          <w:szCs w:val="36"/>
          <w:highlight w:val="none"/>
        </w:rPr>
      </w:pPr>
    </w:p>
    <w:p>
      <w:pPr>
        <w:jc w:val="center"/>
        <w:rPr>
          <w:rFonts w:eastAsia="黑体"/>
          <w:sz w:val="32"/>
          <w:szCs w:val="32"/>
          <w:highlight w:val="none"/>
        </w:rPr>
      </w:pPr>
      <w:r>
        <w:rPr>
          <w:rFonts w:eastAsia="黑体"/>
          <w:sz w:val="36"/>
          <w:szCs w:val="36"/>
          <w:highlight w:val="none"/>
        </w:rPr>
        <w:t>单位名称（盖章）：</w:t>
      </w:r>
      <w:r>
        <w:rPr>
          <w:rFonts w:hint="eastAsia" w:eastAsia="黑体"/>
          <w:sz w:val="36"/>
          <w:szCs w:val="36"/>
          <w:highlight w:val="none"/>
          <w:lang w:eastAsia="zh-CN"/>
        </w:rPr>
        <w:t>江永交通警察大队</w:t>
      </w:r>
    </w:p>
    <w:p>
      <w:pPr>
        <w:widowControl/>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eastAsia="仿宋_GB2312"/>
          <w:sz w:val="32"/>
          <w:szCs w:val="32"/>
          <w:highlight w:val="none"/>
        </w:rPr>
        <w:br w:type="page"/>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一、基本情况</w:t>
      </w:r>
    </w:p>
    <w:p>
      <w:pPr>
        <w:widowControl/>
        <w:ind w:firstLine="321" w:firstLineChars="1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（一）部门（单位）基本情况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rPr>
          <w:rFonts w:hint="eastAsia" w:ascii="仿宋_GB2312" w:hAnsi="仿宋_GB2312" w:eastAsia="仿宋_GB2312" w:cs="仿宋_GB2312"/>
          <w:b w:val="0"/>
          <w:bCs w:val="0"/>
          <w:i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14:textFill>
            <w14:solidFill>
              <w14:schemeClr w14:val="tx1"/>
            </w14:solidFill>
          </w14:textFill>
        </w:rPr>
        <w:t>职能职责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rPr>
          <w:rFonts w:hint="eastAsia" w:ascii="仿宋_GB2312" w:hAnsi="仿宋_GB2312" w:eastAsia="仿宋_GB2312" w:cs="仿宋_GB2312"/>
          <w:b w:val="0"/>
          <w:bCs w:val="0"/>
          <w:i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14:textFill>
            <w14:solidFill>
              <w14:schemeClr w14:val="tx1"/>
            </w14:solidFill>
          </w14:textFill>
        </w:rPr>
        <w:t>1、贯彻执行国家、省、市、县有关道路交通安全和交通秩序的法律、法规和政策，研究制订辖区道路交通管理对策，拟定全县道路交通安全、秩序管理发展战略。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14:textFill>
            <w14:solidFill>
              <w14:schemeClr w14:val="tx1"/>
            </w14:solidFill>
          </w14:textFill>
        </w:rPr>
        <w:t> </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14:textFill>
            <w14:solidFill>
              <w14:schemeClr w14:val="tx1"/>
            </w14:solidFill>
          </w14:textFill>
        </w:rPr>
        <w:t xml:space="preserve">  </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14:textFill>
            <w14:solidFill>
              <w14:schemeClr w14:val="tx1"/>
            </w14:solidFill>
          </w14:textFill>
        </w:rPr>
        <w:t>2、指挥和参与维护全县道路交通秩序；参与研究城市建设、道路交通和安全设施的规划；参与研究城区道路交通标志、标线、交通信号装置等安全设施的设置、监督和管理；依法打击破坏道路交通安全设施等违法犯罪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rPr>
          <w:rFonts w:hint="eastAsia" w:ascii="仿宋_GB2312" w:hAnsi="仿宋_GB2312" w:eastAsia="仿宋_GB2312" w:cs="仿宋_GB2312"/>
          <w:b w:val="0"/>
          <w:bCs w:val="0"/>
          <w:i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14:textFill>
            <w14:solidFill>
              <w14:schemeClr w14:val="tx1"/>
            </w14:solidFill>
          </w14:textFill>
        </w:rPr>
        <w:t>3、指导和参与对涉及交通安全、交通秩序的停车场（库）、车辆停靠站点的规划规划建设和挖掘、占用道路的审报管理工作。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rPr>
          <w:rFonts w:hint="eastAsia" w:ascii="仿宋_GB2312" w:hAnsi="仿宋_GB2312" w:eastAsia="仿宋_GB2312" w:cs="仿宋_GB2312"/>
          <w:b w:val="0"/>
          <w:bCs w:val="0"/>
          <w:i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14:textFill>
            <w14:solidFill>
              <w14:schemeClr w14:val="tx1"/>
            </w14:solidFill>
          </w14:textFill>
        </w:rPr>
        <w:t>   4、负责全县道路交通事故的预防和调处工作，查处道路交通违章和交通事故，开展道路交通安全宣传教育活动。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rPr>
          <w:rFonts w:hint="eastAsia" w:ascii="仿宋_GB2312" w:hAnsi="仿宋_GB2312" w:eastAsia="仿宋_GB2312" w:cs="仿宋_GB2312"/>
          <w:b w:val="0"/>
          <w:bCs w:val="0"/>
          <w:i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14:textFill>
            <w14:solidFill>
              <w14:schemeClr w14:val="tx1"/>
            </w14:solidFill>
          </w14:textFill>
        </w:rPr>
        <w:t>   5、负责实施交通警（保）卫工作。参与处置突发事件，协同其他警种或部门维护公路治安秩序，打击车匪路霸，堵截逃犯及其他犯罪嫌疑人，依法查处乱设卡、乱罚款、乱收费行为。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14:textFill>
            <w14:solidFill>
              <w14:schemeClr w14:val="tx1"/>
            </w14:solidFill>
          </w14:textFill>
        </w:rPr>
        <w:t>   6、负责全县机动车辆安全监督、牌证发放、驾驶员的考试、发证、审验工作；对全县机动车和驾驶员的各类资料建档管理和数据登记、统计以及分类上报工作。</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 xml:space="preserve">机构设置和人员情况 </w:t>
      </w:r>
    </w:p>
    <w:p>
      <w:pPr>
        <w:widowControl/>
        <w:ind w:firstLine="640" w:firstLineChars="200"/>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江</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14:textFill>
            <w14:solidFill>
              <w14:schemeClr w14:val="tx1"/>
            </w14:solidFill>
          </w14:textFill>
        </w:rPr>
        <w:t>永县公安局交警大队属政府行政部门，现有编制人员3</w:t>
      </w:r>
      <w:r>
        <w:rPr>
          <w:rFonts w:hint="default" w:ascii="仿宋_GB2312" w:hAnsi="仿宋_GB2312" w:eastAsia="仿宋_GB2312" w:cs="仿宋_GB2312"/>
          <w:b w:val="0"/>
          <w:bCs w:val="0"/>
          <w:i w:val="0"/>
          <w:caps w:val="0"/>
          <w:color w:val="000000" w:themeColor="text1"/>
          <w:spacing w:val="0"/>
          <w:sz w:val="32"/>
          <w:szCs w:val="32"/>
          <w:highlight w:val="none"/>
          <w:shd w:val="clear" w:color="auto" w:fill="FFFFFF"/>
          <w:lang w:val="en-US"/>
          <w14:textFill>
            <w14:solidFill>
              <w14:schemeClr w14:val="tx1"/>
            </w14:solidFill>
          </w14:textFill>
        </w:rPr>
        <w:t>5</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14:textFill>
            <w14:solidFill>
              <w14:schemeClr w14:val="tx1"/>
            </w14:solidFill>
          </w14:textFill>
        </w:rPr>
        <w:t>人，协警及临聘人</w:t>
      </w:r>
      <w:r>
        <w:rPr>
          <w:rFonts w:hint="default" w:ascii="仿宋_GB2312" w:hAnsi="仿宋_GB2312" w:eastAsia="仿宋_GB2312" w:cs="仿宋_GB2312"/>
          <w:b w:val="0"/>
          <w:bCs w:val="0"/>
          <w:i w:val="0"/>
          <w:caps w:val="0"/>
          <w:color w:val="000000" w:themeColor="text1"/>
          <w:spacing w:val="0"/>
          <w:sz w:val="32"/>
          <w:szCs w:val="32"/>
          <w:highlight w:val="none"/>
          <w:shd w:val="clear" w:color="auto" w:fill="FFFFFF"/>
          <w:lang w:val="en-US"/>
          <w14:textFill>
            <w14:solidFill>
              <w14:schemeClr w14:val="tx1"/>
            </w14:solidFill>
          </w14:textFill>
        </w:rPr>
        <w:t>100</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14:textFill>
            <w14:solidFill>
              <w14:schemeClr w14:val="tx1"/>
            </w14:solidFill>
          </w14:textFill>
        </w:rPr>
        <w:t>人，内设三个股室三个交警中队，交通工具10辆，管辖江永县和回龙迂管理区，辖区人口27万人，道路里程为1063公里，其中省道68公里，县级道路158公里，城区道路37公里，乡村道路800公里，管理机动车辆31000余辆，驾驶员28000余人。</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部门（单位）年度整体支出绩效目标，省级专项资金绩效目标、其他项目支出（除省级专项资金以外）绩效目标完成财政收入任务，确保地方财政收入稳定增长，为江永经济社会持续健康发展提供财力保障。</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1、落实“三保”工作，保障民生和重点支出。</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2、整合财政涉农资金，巩固脱贫攻坚成果。</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3、防控政府债务风险，完成年度化债任务。</w:t>
      </w:r>
    </w:p>
    <w:p>
      <w:pPr>
        <w:widowControl/>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二、一般公共预算支出情况</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202</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年支出决算数为</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1483.82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，详细情况如下：</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（一）基本支出情况</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202</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年基本支出</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843.63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，主要用于单位人员工资、办公费、水电费、邮电费、差旅费、车辆运行维护费、公务接待费、培训等。</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（二）项目支出情况</w:t>
      </w:r>
    </w:p>
    <w:p>
      <w:pPr>
        <w:widowControl/>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 xml:space="preserve">    项目支出是指为完成财政财务管理工作而发生的支出，202</w:t>
      </w:r>
      <w:r>
        <w:rPr>
          <w:rFonts w:hint="default" w:ascii="仿宋_GB2312" w:hAnsi="仿宋_GB2312" w:eastAsia="仿宋_GB2312" w:cs="仿宋_GB2312"/>
          <w:b w:val="0"/>
          <w:bCs w:val="0"/>
          <w:color w:val="000000" w:themeColor="text1"/>
          <w:sz w:val="32"/>
          <w:szCs w:val="32"/>
          <w:highlight w:val="none"/>
          <w:lang w:val="en-US"/>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年项目支出</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640.19</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元，为机关各股室的专项业务工作经费，主要用于部门预决算编制、监督检查、税政法规、预算绩效管理、政府债务管理、财政系统信息网络建设、国库集中支付、国有资产管理、惠农补贴发放、非税收入管理等方面。</w:t>
      </w:r>
    </w:p>
    <w:p>
      <w:pPr>
        <w:widowControl/>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三、政府性基金预算支出情况</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我单位202</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年度无政府性基金预算支出。</w:t>
      </w:r>
    </w:p>
    <w:p>
      <w:pPr>
        <w:widowControl/>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四、国有资本经营预算支出情况</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我单位202</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年度无国有资本经营预算支出。</w:t>
      </w:r>
    </w:p>
    <w:p>
      <w:pPr>
        <w:widowControl/>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五、社会保险基金预算支出情况</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我单位202</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年度无社会保险基金预算支出。</w:t>
      </w:r>
    </w:p>
    <w:p>
      <w:pPr>
        <w:widowControl/>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六、部门整体支出绩效情况</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（一）运行成本方面</w:t>
      </w:r>
    </w:p>
    <w:p>
      <w:pPr>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1、严控“三公”经费支出。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202</w:t>
      </w:r>
      <w:r>
        <w:rPr>
          <w:rFonts w:hint="default" w:ascii="仿宋_GB2312" w:hAnsi="仿宋_GB2312" w:eastAsia="仿宋_GB2312" w:cs="仿宋_GB2312"/>
          <w:b w:val="0"/>
          <w:bCs w:val="0"/>
          <w:color w:val="000000" w:themeColor="text1"/>
          <w:sz w:val="32"/>
          <w:szCs w:val="32"/>
          <w:highlight w:val="none"/>
          <w:lang w:val="en-US"/>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年，县</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交警大队</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开支“三公经费”计</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127.24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万元，其中：公务用车运行维护费开支</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38.84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公务用车购置费</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80.4</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公务接待费开支</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 因公出国出（境）经费开支为0。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相较2021年，我大队各项“三公”经费指标有所波动:</w:t>
      </w:r>
    </w:p>
    <w:p>
      <w:pPr>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1、因公出国(境)费2021、2022年我大队都没有出国学习考察办案事项发生，此项费用两年都为0。</w:t>
      </w:r>
    </w:p>
    <w:p>
      <w:pPr>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2、公务接待费2022年公务接待费支出 8万元，较2021年减少7.75万元。2022 年度我大队严控公务接待费开支，对接待的人数、规格严格按照县财政制定的规定执行，公务接待一般在机关食堂，节约了费用。</w:t>
      </w:r>
    </w:p>
    <w:p>
      <w:pPr>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3、公务用车费2022 年公务用车购置支出 80.4 万元，较 2021 年增加了46.02 万元。2022 年按省公安厅要求配置新的执法车辆和大队以旧换新警务执勤执法车辆6 辆，共计支出80.4万元。2022年我大队全年公务用车运行维护费用支出38.84万元，较2021年增加12.46万元；2022 年度我局严控公务用车费用，厉行节约，对公务用车费用支出严格把控。</w:t>
      </w:r>
    </w:p>
    <w:p>
      <w:pPr>
        <w:widowControl/>
        <w:numPr>
          <w:numId w:val="0"/>
        </w:numPr>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加强政府采购管理。从2021年起，凡采购办公用品、广告宣传、信息技术服务等，均需通过电子卖场进行。</w:t>
      </w:r>
    </w:p>
    <w:p>
      <w:pPr>
        <w:widowControl/>
        <w:numPr>
          <w:ilvl w:val="0"/>
          <w:numId w:val="0"/>
        </w:numPr>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）管理效率方面</w:t>
      </w:r>
    </w:p>
    <w:p>
      <w:pPr>
        <w:widowControl/>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制定目标考核管理办法，调动干部职工工作积极性；加强预算执行监控，保持财政支付进度与国库余额协调运转。</w:t>
      </w:r>
    </w:p>
    <w:p>
      <w:pPr>
        <w:widowControl/>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七、存在的问题及原因分析</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当前我大队警力严重不足，民警年龄偏大，面对各种交通安保任务和集中整治行动的增多，以及管理日益激增的车辆、驾驶人，显得力不从心。</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2、辖区机动车增长较快，人、车、路的矛盾更加突出，道路交通安全管理任务更加繁重，对公安交管工作提出了更高要求。</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3、摩托车、电动车交通违法行为屡禁不止，特别是驾乘摩托车、电动车不戴安全头盔时有发生。</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4、国道G548线、省道S348线、S239线和县道X079线交通流量大，一些道路交通安全隐患没能得到彻底排查、还存在死角还需进一步整改完善。</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5、各乡镇在开展道路交通社会管理工作存在不平衡现象，部分乡镇没有很好开展此项工作，交通安全宣传教育工作仍然还是交警一家单打独斗。</w:t>
      </w:r>
    </w:p>
    <w:p>
      <w:pPr>
        <w:widowControl/>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八、下一步改进措施</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进一步抓好道路交通事故预防“减量控大”、安全生产三年行动、党的二十大交通安保、“六化”工作、永警利剑定点清查行动、酒驾醉驾整治等重点工作，主动适应新形势、新任务、新思路，加强和改进道路交通安全管理工作。</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2、进一步落实道路交通安全社会化责任制，通过道安平台加大对各乡镇、各单位的交通违法整治调度，从源头上遏制农村地区道路交通事故。</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加强元旦、春运、春节、五一、国庆重点节假日的道路交通安全管理，进一步加大对摩托车、电动车“盔带风暴”整治力度，全面遏制涉摩、涉电亡人事故的发生，坚决杜绝再次发生涉摩较大道路交通事故的发生。</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4、继续开展经常性安全大检查，加强对客运企业、客货运车辆、校车、道路安全隐患的排查，及时消除道路交通安全隐患。</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以《道路交通安全法》宣传为重点，进一步强化交通安全宣传教育，充分利用各种载体，采取各种形式，广泛深入开展交通安全宣传教育，结合交通事故预防工作，定期组织民警到全县各乡镇、村组进行交通法规宣传，深入各村小学为小学生上交通安全知识课。</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6、联合宣传部门开展全县交通违法爆光行动，对机关事业单位及公职人员交通违法情况在新闻媒体进行爆光，让交通问题顽瘴痼疾集中整治的决策部署家喻户晓，教育引导广大市民自觉遵守道路交通安全法律法规。 </w:t>
      </w:r>
    </w:p>
    <w:p>
      <w:pPr>
        <w:widowControl/>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九、绩效自评结果拟应用和公开情况</w:t>
      </w:r>
    </w:p>
    <w:p>
      <w:pPr>
        <w:widowControl/>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根据上级规定，我单位将在江永政府网公示绩效自评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结果</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widowControl/>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十、其他需要说明的情况</w:t>
      </w:r>
    </w:p>
    <w:p>
      <w:pPr>
        <w:widowControl/>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无。</w:t>
      </w:r>
    </w:p>
    <w:p>
      <w:pPr>
        <w:widowControl/>
        <w:rPr>
          <w:rFonts w:hint="eastAsia" w:eastAsia="仿宋_GB2312"/>
          <w:color w:val="FF0000"/>
          <w:sz w:val="32"/>
          <w:szCs w:val="32"/>
          <w:highlight w:val="none"/>
        </w:rPr>
      </w:pPr>
    </w:p>
    <w:p>
      <w:pPr>
        <w:widowControl/>
        <w:rPr>
          <w:rFonts w:hint="eastAsia" w:eastAsia="仿宋_GB2312"/>
          <w:color w:val="FF0000"/>
          <w:sz w:val="32"/>
          <w:szCs w:val="32"/>
          <w:highlight w:val="none"/>
        </w:rPr>
      </w:pPr>
      <w:r>
        <w:rPr>
          <w:rFonts w:hint="eastAsia" w:eastAsia="仿宋_GB2312"/>
          <w:color w:val="FF0000"/>
          <w:sz w:val="32"/>
          <w:szCs w:val="32"/>
          <w:highlight w:val="none"/>
        </w:rPr>
        <w:t xml:space="preserve"> </w:t>
      </w:r>
    </w:p>
    <w:p>
      <w:pPr>
        <w:widowControl/>
        <w:rPr>
          <w:rFonts w:hint="eastAsia" w:eastAsia="仿宋_GB2312"/>
          <w:color w:val="FF0000"/>
          <w:sz w:val="32"/>
          <w:szCs w:val="32"/>
          <w:highlight w:val="none"/>
        </w:rPr>
      </w:pPr>
    </w:p>
    <w:p>
      <w:pPr>
        <w:widowControl/>
        <w:rPr>
          <w:rFonts w:hint="eastAsia" w:eastAsia="仿宋_GB2312"/>
          <w:color w:val="FF0000"/>
          <w:sz w:val="32"/>
          <w:szCs w:val="32"/>
          <w:highlight w:val="none"/>
        </w:rPr>
      </w:pPr>
    </w:p>
    <w:p>
      <w:pPr>
        <w:widowControl/>
        <w:rPr>
          <w:rFonts w:hint="eastAsia" w:eastAsia="仿宋_GB2312"/>
          <w:color w:val="FF0000"/>
          <w:sz w:val="32"/>
          <w:szCs w:val="32"/>
          <w:highlight w:val="none"/>
        </w:rPr>
      </w:pPr>
    </w:p>
    <w:p>
      <w:pPr>
        <w:widowControl/>
        <w:rPr>
          <w:rFonts w:hint="eastAsia" w:eastAsia="仿宋_GB2312"/>
          <w:color w:val="FF0000"/>
          <w:sz w:val="32"/>
          <w:szCs w:val="32"/>
          <w:highlight w:val="none"/>
        </w:rPr>
      </w:pPr>
    </w:p>
    <w:p>
      <w:pPr>
        <w:widowControl/>
        <w:rPr>
          <w:rFonts w:hint="eastAsia" w:eastAsia="仿宋_GB2312"/>
          <w:color w:val="FF0000"/>
          <w:sz w:val="32"/>
          <w:szCs w:val="32"/>
          <w:highlight w:val="none"/>
        </w:rPr>
      </w:pPr>
    </w:p>
    <w:p>
      <w:pPr>
        <w:widowControl/>
        <w:rPr>
          <w:rFonts w:hint="eastAsia" w:eastAsia="仿宋_GB2312"/>
          <w:color w:val="FF0000"/>
          <w:sz w:val="32"/>
          <w:szCs w:val="32"/>
          <w:highlight w:val="none"/>
        </w:rPr>
      </w:pPr>
    </w:p>
    <w:p>
      <w:pPr>
        <w:widowControl/>
        <w:rPr>
          <w:rFonts w:hint="eastAsia" w:eastAsia="仿宋_GB2312"/>
          <w:color w:val="FF0000"/>
          <w:sz w:val="32"/>
          <w:szCs w:val="32"/>
          <w:highlight w:val="none"/>
        </w:rPr>
      </w:pPr>
    </w:p>
    <w:p>
      <w:pPr>
        <w:widowControl/>
        <w:rPr>
          <w:rFonts w:hint="eastAsia" w:eastAsia="仿宋_GB2312"/>
          <w:color w:val="FF0000"/>
          <w:sz w:val="32"/>
          <w:szCs w:val="32"/>
          <w:highlight w:val="none"/>
        </w:rPr>
      </w:pPr>
    </w:p>
    <w:p>
      <w:pPr>
        <w:widowControl/>
        <w:rPr>
          <w:rFonts w:hint="eastAsia" w:eastAsia="仿宋_GB2312"/>
          <w:color w:val="FF0000"/>
          <w:sz w:val="32"/>
          <w:szCs w:val="32"/>
          <w:highlight w:val="none"/>
        </w:rPr>
      </w:pPr>
    </w:p>
    <w:p>
      <w:pPr>
        <w:widowControl/>
        <w:rPr>
          <w:rFonts w:hint="eastAsia" w:eastAsia="仿宋_GB2312"/>
          <w:color w:val="FF0000"/>
          <w:sz w:val="32"/>
          <w:szCs w:val="32"/>
          <w:highlight w:val="none"/>
        </w:rPr>
      </w:pPr>
    </w:p>
    <w:p>
      <w:pPr>
        <w:widowControl/>
        <w:rPr>
          <w:rFonts w:hint="eastAsia" w:eastAsia="仿宋_GB2312"/>
          <w:color w:val="FF0000"/>
          <w:sz w:val="32"/>
          <w:szCs w:val="32"/>
          <w:highlight w:val="none"/>
        </w:rPr>
      </w:pPr>
    </w:p>
    <w:p>
      <w:pPr>
        <w:widowControl/>
        <w:rPr>
          <w:rFonts w:hint="eastAsia" w:eastAsia="仿宋_GB2312"/>
          <w:color w:val="FF0000"/>
          <w:sz w:val="32"/>
          <w:szCs w:val="32"/>
          <w:highlight w:val="none"/>
        </w:rPr>
      </w:pPr>
    </w:p>
    <w:p>
      <w:pPr>
        <w:widowControl/>
        <w:rPr>
          <w:rFonts w:hint="eastAsia" w:eastAsia="仿宋_GB2312"/>
          <w:color w:val="000000" w:themeColor="text1"/>
          <w:sz w:val="32"/>
          <w:szCs w:val="32"/>
          <w:highlight w:val="none"/>
          <w14:textFill>
            <w14:solidFill>
              <w14:schemeClr w14:val="tx1"/>
            </w14:solidFill>
          </w14:textFill>
        </w:rPr>
      </w:pPr>
    </w:p>
    <w:p>
      <w:pPr>
        <w:widowControl/>
        <w:rPr>
          <w:rFonts w:hint="eastAsia" w:ascii="黑体" w:hAnsi="黑体" w:eastAsia="黑体" w:cs="黑体"/>
          <w:color w:val="000000" w:themeColor="text1"/>
          <w:sz w:val="32"/>
          <w:szCs w:val="32"/>
          <w:highlight w:val="none"/>
          <w14:textFill>
            <w14:solidFill>
              <w14:schemeClr w14:val="tx1"/>
            </w14:solidFill>
          </w14:textFill>
        </w:rPr>
      </w:pPr>
    </w:p>
    <w:p>
      <w:pPr>
        <w:widowControl/>
        <w:rPr>
          <w:rFonts w:hint="eastAsia" w:ascii="黑体" w:hAnsi="黑体" w:eastAsia="黑体"/>
          <w:color w:val="000000" w:themeColor="text1"/>
          <w:kern w:val="0"/>
          <w:sz w:val="32"/>
          <w:szCs w:val="32"/>
          <w:highlight w:val="none"/>
          <w14:textFill>
            <w14:solidFill>
              <w14:schemeClr w14:val="tx1"/>
            </w14:solidFill>
          </w14:textFill>
        </w:rPr>
      </w:pPr>
    </w:p>
    <w:p>
      <w:pPr>
        <w:widowControl/>
        <w:rPr>
          <w:rFonts w:hint="eastAsia" w:ascii="黑体" w:hAnsi="黑体" w:eastAsia="黑体"/>
          <w:color w:val="000000" w:themeColor="text1"/>
          <w:kern w:val="0"/>
          <w:sz w:val="32"/>
          <w:szCs w:val="32"/>
          <w:highlight w:val="none"/>
          <w14:textFill>
            <w14:solidFill>
              <w14:schemeClr w14:val="tx1"/>
            </w14:solidFill>
          </w14:textFill>
        </w:rPr>
      </w:pPr>
    </w:p>
    <w:p>
      <w:pPr>
        <w:widowControl/>
        <w:rPr>
          <w:rFonts w:hint="eastAsia" w:ascii="黑体" w:hAnsi="宋体" w:eastAsia="黑体"/>
          <w:color w:val="000000" w:themeColor="text1"/>
          <w:kern w:val="0"/>
          <w:sz w:val="32"/>
          <w:szCs w:val="32"/>
          <w:highlight w:val="none"/>
          <w:lang w:val="en-US" w:eastAsia="zh-CN"/>
          <w14:textFill>
            <w14:solidFill>
              <w14:schemeClr w14:val="tx1"/>
            </w14:solidFill>
          </w14:textFill>
        </w:rPr>
      </w:pPr>
      <w:r>
        <w:rPr>
          <w:rFonts w:hint="eastAsia" w:ascii="黑体" w:hAnsi="黑体" w:eastAsia="黑体"/>
          <w:color w:val="000000" w:themeColor="text1"/>
          <w:kern w:val="0"/>
          <w:sz w:val="32"/>
          <w:szCs w:val="32"/>
          <w:highlight w:val="none"/>
          <w14:textFill>
            <w14:solidFill>
              <w14:schemeClr w14:val="tx1"/>
            </w14:solidFill>
          </w14:textFill>
        </w:rPr>
        <w:t>附件</w:t>
      </w:r>
      <w:r>
        <w:rPr>
          <w:rFonts w:hint="eastAsia" w:ascii="黑体" w:hAnsi="黑体" w:eastAsia="黑体"/>
          <w:color w:val="000000" w:themeColor="text1"/>
          <w:kern w:val="0"/>
          <w:sz w:val="32"/>
          <w:szCs w:val="32"/>
          <w:highlight w:val="none"/>
          <w:lang w:val="en-US" w:eastAsia="zh-CN"/>
          <w14:textFill>
            <w14:solidFill>
              <w14:schemeClr w14:val="tx1"/>
            </w14:solidFill>
          </w14:textFill>
        </w:rPr>
        <w:t>8</w:t>
      </w:r>
    </w:p>
    <w:p>
      <w:pPr>
        <w:jc w:val="cente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r>
        <w:rPr>
          <w:rFonts w:hint="eastAsia" w:ascii="黑体" w:hAnsi="宋体" w:eastAsia="黑体"/>
          <w:color w:val="000000" w:themeColor="text1"/>
          <w:kern w:val="0"/>
          <w:sz w:val="32"/>
          <w:szCs w:val="32"/>
          <w:highlight w:val="none"/>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单位（部门）绩效自评公开网址统计表</w:t>
      </w:r>
    </w:p>
    <w:tbl>
      <w:tblPr>
        <w:tblStyle w:val="8"/>
        <w:tblpPr w:leftFromText="180" w:rightFromText="180" w:vertAnchor="text" w:horzAnchor="page" w:tblpX="1354" w:tblpY="675"/>
        <w:tblOverlap w:val="never"/>
        <w:tblW w:w="9465" w:type="dxa"/>
        <w:tblInd w:w="0" w:type="dxa"/>
        <w:tblLayout w:type="fixed"/>
        <w:tblCellMar>
          <w:top w:w="0" w:type="dxa"/>
          <w:left w:w="0" w:type="dxa"/>
          <w:bottom w:w="0" w:type="dxa"/>
          <w:right w:w="0" w:type="dxa"/>
        </w:tblCellMar>
      </w:tblPr>
      <w:tblGrid>
        <w:gridCol w:w="863"/>
        <w:gridCol w:w="1421"/>
        <w:gridCol w:w="684"/>
        <w:gridCol w:w="3062"/>
        <w:gridCol w:w="814"/>
        <w:gridCol w:w="1440"/>
        <w:gridCol w:w="1181"/>
      </w:tblGrid>
      <w:tr>
        <w:tblPrEx>
          <w:tblCellMar>
            <w:top w:w="0" w:type="dxa"/>
            <w:left w:w="0" w:type="dxa"/>
            <w:bottom w:w="0" w:type="dxa"/>
            <w:right w:w="0" w:type="dxa"/>
          </w:tblCellMar>
        </w:tblPrEx>
        <w:trPr>
          <w:trHeight w:val="1152" w:hRule="atLeast"/>
        </w:trPr>
        <w:tc>
          <w:tcPr>
            <w:tcW w:w="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单位代码</w:t>
            </w: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单 位 名 称</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自评报告公开是/否</w:t>
            </w:r>
          </w:p>
        </w:tc>
        <w:tc>
          <w:tcPr>
            <w:tcW w:w="30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公开网址</w:t>
            </w:r>
          </w:p>
        </w:tc>
        <w:tc>
          <w:tcPr>
            <w:tcW w:w="8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联系人</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联系电话</w:t>
            </w: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1339" w:hRule="exact"/>
        </w:trPr>
        <w:tc>
          <w:tcPr>
            <w:tcW w:w="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color w:val="000000" w:themeColor="text1"/>
                <w:sz w:val="21"/>
                <w:szCs w:val="21"/>
                <w:highlight w:val="none"/>
                <w:u w:val="none"/>
                <w:lang w:val="en-US" w:eastAsia="zh-CN"/>
                <w14:textFill>
                  <w14:solidFill>
                    <w14:schemeClr w14:val="tx1"/>
                  </w14:solidFill>
                </w14:textFill>
              </w:rPr>
              <w:t>147</w:t>
            </w: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color w:val="000000" w:themeColor="text1"/>
                <w:sz w:val="21"/>
                <w:szCs w:val="21"/>
                <w:highlight w:val="none"/>
                <w:u w:val="none"/>
                <w:lang w:val="en-US" w:eastAsia="zh-CN"/>
                <w14:textFill>
                  <w14:solidFill>
                    <w14:schemeClr w14:val="tx1"/>
                  </w14:solidFill>
                </w14:textFill>
              </w:rPr>
              <w:t>江永县交通警察大队</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210" w:firstLineChars="100"/>
              <w:jc w:val="both"/>
              <w:rPr>
                <w:rFonts w:hint="eastAsia" w:ascii="宋体" w:hAnsi="宋体" w:eastAsia="宋体" w:cs="宋体"/>
                <w:i w:val="0"/>
                <w:color w:val="000000" w:themeColor="text1"/>
                <w:sz w:val="21"/>
                <w:szCs w:val="21"/>
                <w:highlight w:val="none"/>
                <w:u w:val="none"/>
                <w:lang w:eastAsia="zh-CN"/>
                <w14:textFill>
                  <w14:solidFill>
                    <w14:schemeClr w14:val="tx1"/>
                  </w14:solidFill>
                </w14:textFill>
              </w:rPr>
            </w:pPr>
            <w:r>
              <w:rPr>
                <w:rFonts w:hint="eastAsia" w:ascii="宋体" w:hAnsi="宋体" w:cs="宋体"/>
                <w:i w:val="0"/>
                <w:color w:val="000000" w:themeColor="text1"/>
                <w:sz w:val="21"/>
                <w:szCs w:val="21"/>
                <w:highlight w:val="none"/>
                <w:u w:val="none"/>
                <w:lang w:eastAsia="zh-CN"/>
                <w14:textFill>
                  <w14:solidFill>
                    <w14:schemeClr w14:val="tx1"/>
                  </w14:solidFill>
                </w14:textFill>
              </w:rPr>
              <w:t>是</w:t>
            </w:r>
          </w:p>
        </w:tc>
        <w:tc>
          <w:tcPr>
            <w:tcW w:w="30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both"/>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sz w:val="21"/>
                <w:szCs w:val="21"/>
                <w:highlight w:val="none"/>
                <w:u w:val="none"/>
                <w14:textFill>
                  <w14:solidFill>
                    <w14:schemeClr w14:val="tx1"/>
                  </w14:solidFill>
                </w14:textFill>
              </w:rPr>
              <w:fldChar w:fldCharType="begin"/>
            </w:r>
            <w:r>
              <w:rPr>
                <w:rFonts w:hint="eastAsia" w:ascii="宋体" w:hAnsi="宋体" w:eastAsia="宋体" w:cs="宋体"/>
                <w:i w:val="0"/>
                <w:color w:val="000000" w:themeColor="text1"/>
                <w:sz w:val="21"/>
                <w:szCs w:val="21"/>
                <w:highlight w:val="none"/>
                <w:u w:val="none"/>
                <w14:textFill>
                  <w14:solidFill>
                    <w14:schemeClr w14:val="tx1"/>
                  </w14:solidFill>
                </w14:textFill>
              </w:rPr>
              <w:instrText xml:space="preserve"> HYPERLINK "http://www.jiangyong.gov.cn/jiangyong/jxpj/202204/a28b627e2f1f4564b40748f64158d507.shtml" </w:instrText>
            </w:r>
            <w:r>
              <w:rPr>
                <w:rFonts w:hint="eastAsia" w:ascii="宋体" w:hAnsi="宋体" w:eastAsia="宋体" w:cs="宋体"/>
                <w:i w:val="0"/>
                <w:color w:val="000000" w:themeColor="text1"/>
                <w:sz w:val="21"/>
                <w:szCs w:val="21"/>
                <w:highlight w:val="none"/>
                <w:u w:val="none"/>
                <w14:textFill>
                  <w14:solidFill>
                    <w14:schemeClr w14:val="tx1"/>
                  </w14:solidFill>
                </w14:textFill>
              </w:rPr>
              <w:fldChar w:fldCharType="separate"/>
            </w:r>
            <w:r>
              <w:rPr>
                <w:rStyle w:val="10"/>
                <w:rFonts w:hint="eastAsia" w:ascii="宋体" w:hAnsi="宋体" w:eastAsia="宋体" w:cs="宋体"/>
                <w:i w:val="0"/>
                <w:color w:val="000000" w:themeColor="text1"/>
                <w:sz w:val="21"/>
                <w:szCs w:val="21"/>
                <w:highlight w:val="none"/>
                <w14:textFill>
                  <w14:solidFill>
                    <w14:schemeClr w14:val="tx1"/>
                  </w14:solidFill>
                </w14:textFill>
              </w:rPr>
              <w:t>http://www.jiangyong.gov.cn/jiangyong/jxpj/202204/a28b627e2f1f4564b40748f64158d507.shtml</w:t>
            </w:r>
            <w:r>
              <w:rPr>
                <w:rFonts w:hint="eastAsia" w:ascii="宋体" w:hAnsi="宋体" w:eastAsia="宋体" w:cs="宋体"/>
                <w:i w:val="0"/>
                <w:color w:val="000000" w:themeColor="text1"/>
                <w:sz w:val="21"/>
                <w:szCs w:val="21"/>
                <w:highlight w:val="none"/>
                <w:u w:val="none"/>
                <w14:textFill>
                  <w14:solidFill>
                    <w14:schemeClr w14:val="tx1"/>
                  </w14:solidFill>
                </w14:textFill>
              </w:rPr>
              <w:fldChar w:fldCharType="end"/>
            </w:r>
          </w:p>
        </w:tc>
        <w:tc>
          <w:tcPr>
            <w:tcW w:w="8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pPr>
          </w:p>
        </w:tc>
      </w:tr>
      <w:tr>
        <w:tblPrEx>
          <w:tblCellMar>
            <w:top w:w="0" w:type="dxa"/>
            <w:left w:w="0" w:type="dxa"/>
            <w:bottom w:w="0" w:type="dxa"/>
            <w:right w:w="0" w:type="dxa"/>
          </w:tblCellMar>
        </w:tblPrEx>
        <w:trPr>
          <w:trHeight w:val="1134" w:hRule="exact"/>
        </w:trPr>
        <w:tc>
          <w:tcPr>
            <w:tcW w:w="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30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CellMar>
            <w:top w:w="0" w:type="dxa"/>
            <w:left w:w="0" w:type="dxa"/>
            <w:bottom w:w="0" w:type="dxa"/>
            <w:right w:w="0" w:type="dxa"/>
          </w:tblCellMar>
        </w:tblPrEx>
        <w:trPr>
          <w:trHeight w:val="1134" w:hRule="exact"/>
        </w:trPr>
        <w:tc>
          <w:tcPr>
            <w:tcW w:w="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30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CellMar>
            <w:top w:w="0" w:type="dxa"/>
            <w:left w:w="0" w:type="dxa"/>
            <w:bottom w:w="0" w:type="dxa"/>
            <w:right w:w="0" w:type="dxa"/>
          </w:tblCellMar>
        </w:tblPrEx>
        <w:trPr>
          <w:trHeight w:val="1134" w:hRule="exact"/>
        </w:trPr>
        <w:tc>
          <w:tcPr>
            <w:tcW w:w="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30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CellMar>
            <w:top w:w="0" w:type="dxa"/>
            <w:left w:w="0" w:type="dxa"/>
            <w:bottom w:w="0" w:type="dxa"/>
            <w:right w:w="0" w:type="dxa"/>
          </w:tblCellMar>
        </w:tblPrEx>
        <w:trPr>
          <w:trHeight w:val="1134" w:hRule="exact"/>
        </w:trPr>
        <w:tc>
          <w:tcPr>
            <w:tcW w:w="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30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r>
    </w:tbl>
    <w:p>
      <w:pPr>
        <w:rPr>
          <w:color w:val="FF0000"/>
          <w:highlight w:val="none"/>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ZTM5ODhjMDE4NjMxOGE3M2JjMmE1NDIxNGNjOWUifQ=="/>
  </w:docVars>
  <w:rsids>
    <w:rsidRoot w:val="1DE26AFC"/>
    <w:rsid w:val="079C6255"/>
    <w:rsid w:val="0E9A07D1"/>
    <w:rsid w:val="111F5B8F"/>
    <w:rsid w:val="12711F1D"/>
    <w:rsid w:val="184D45B0"/>
    <w:rsid w:val="1DE26AFC"/>
    <w:rsid w:val="1ECA72A4"/>
    <w:rsid w:val="23791044"/>
    <w:rsid w:val="2DCB318F"/>
    <w:rsid w:val="30DC4C6C"/>
    <w:rsid w:val="355A449A"/>
    <w:rsid w:val="37356E59"/>
    <w:rsid w:val="386D607F"/>
    <w:rsid w:val="3D181F9D"/>
    <w:rsid w:val="3F295658"/>
    <w:rsid w:val="42FD39B8"/>
    <w:rsid w:val="44E27DBA"/>
    <w:rsid w:val="45136CA4"/>
    <w:rsid w:val="45224682"/>
    <w:rsid w:val="471E3B93"/>
    <w:rsid w:val="4A8D4368"/>
    <w:rsid w:val="4F7D43A7"/>
    <w:rsid w:val="50FD327B"/>
    <w:rsid w:val="58240FC6"/>
    <w:rsid w:val="65BE5646"/>
    <w:rsid w:val="67041D33"/>
    <w:rsid w:val="6E860BE1"/>
    <w:rsid w:val="6E9B7F61"/>
    <w:rsid w:val="6FE20B95"/>
    <w:rsid w:val="71783902"/>
    <w:rsid w:val="7D98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2"/>
    <w:basedOn w:val="3"/>
    <w:qFormat/>
    <w:uiPriority w:val="0"/>
    <w:pPr>
      <w:ind w:firstLine="420" w:firstLineChars="200"/>
    </w:pPr>
  </w:style>
  <w:style w:type="character" w:styleId="10">
    <w:name w:val="Hyperlink"/>
    <w:basedOn w:val="9"/>
    <w:qFormat/>
    <w:uiPriority w:val="0"/>
    <w:rPr>
      <w:color w:val="0000FF"/>
      <w:u w:val="single"/>
    </w:rPr>
  </w:style>
  <w:style w:type="paragraph" w:styleId="11">
    <w:name w:val="List Paragraph"/>
    <w:basedOn w:val="1"/>
    <w:qFormat/>
    <w:uiPriority w:val="99"/>
    <w:pPr>
      <w:ind w:firstLine="420" w:firstLineChars="200"/>
    </w:pPr>
    <w:rPr>
      <w:rFonts w:ascii="Calibri" w:hAnsi="Calibri" w:eastAsia="宋体" w:cs="Times New Roman"/>
      <w:szCs w:val="22"/>
    </w:rPr>
  </w:style>
  <w:style w:type="paragraph" w:customStyle="1" w:styleId="12">
    <w:name w:val="p0"/>
    <w:basedOn w:val="1"/>
    <w:qFormat/>
    <w:uiPriority w:val="99"/>
    <w:pPr>
      <w:widowControl/>
    </w:pPr>
    <w:rPr>
      <w:rFonts w:ascii="Times New Roman" w:hAnsi="Times New Roman"/>
      <w:kern w:val="0"/>
      <w:szCs w:val="21"/>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11782</Words>
  <Characters>12763</Characters>
  <Lines>0</Lines>
  <Paragraphs>0</Paragraphs>
  <TotalTime>69</TotalTime>
  <ScaleCrop>false</ScaleCrop>
  <LinksUpToDate>false</LinksUpToDate>
  <CharactersWithSpaces>13443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2021-04-22T23:12:00Z</dcterms:created>
  <dc:creator>cx6</dc:creator>
  <cp:lastModifiedBy>Administrator</cp:lastModifiedBy>
  <cp:lastPrinted>2022-05-06T00:01:00Z</cp:lastPrinted>
  <dcterms:modified xsi:type="dcterms:W3CDTF">2023-03-27T09:44:44Z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9775F7D416414D40923DCBBF96C5E8F6</vt:lpwstr>
  </property>
</Properties>
</file>