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Times New Roman" w:hAnsi="Times New Roman" w:eastAsia="宋体"/>
          <w:b/>
          <w:bCs/>
          <w:color w:val="auto"/>
          <w:sz w:val="24"/>
          <w:lang w:val="en-US" w:eastAsia="zh-CN"/>
        </w:rPr>
      </w:pPr>
    </w:p>
    <w:p>
      <w:pPr>
        <w:pStyle w:val="7"/>
        <w:jc w:val="center"/>
        <w:rPr>
          <w:rFonts w:hint="eastAsia"/>
          <w:lang w:val="en-US" w:eastAsia="zh-CN"/>
        </w:rPr>
      </w:pPr>
      <w:r>
        <w:rPr>
          <w:rFonts w:hint="eastAsia" w:ascii="FZXBSJW--GB1-0" w:hAnsi="FZXBSJW--GB1-0" w:eastAsia="FZXBSJW--GB1-0"/>
          <w:sz w:val="44"/>
        </w:rPr>
        <w:t>永州市乡镇级以下千人以上集中式饮用水水源保护区划定方案</w:t>
      </w:r>
    </w:p>
    <w:tbl>
      <w:tblPr>
        <w:tblW w:w="14323" w:type="dxa"/>
        <w:jc w:val="center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929"/>
        <w:gridCol w:w="780"/>
        <w:gridCol w:w="930"/>
        <w:gridCol w:w="930"/>
        <w:gridCol w:w="705"/>
        <w:gridCol w:w="1215"/>
        <w:gridCol w:w="990"/>
        <w:gridCol w:w="480"/>
        <w:gridCol w:w="480"/>
        <w:gridCol w:w="1898"/>
        <w:gridCol w:w="13"/>
        <w:gridCol w:w="849"/>
        <w:gridCol w:w="2713"/>
      </w:tblGrid>
      <w:tr>
        <w:trPr>
          <w:trHeight w:val="376" w:hRule="atLeast"/>
          <w:tblHeader/>
          <w:jc w:val="center"/>
        </w:trPr>
        <w:tc>
          <w:tcPr>
            <w:tcW w:w="41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保护区名称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所在县区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所在乡镇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所在流域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类型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水源地现有水厂名称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服务城镇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规模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保护级别</w:t>
            </w:r>
          </w:p>
        </w:tc>
        <w:tc>
          <w:tcPr>
            <w:tcW w:w="5473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保护区范围</w:t>
            </w:r>
          </w:p>
        </w:tc>
      </w:tr>
      <w:tr>
        <w:trPr>
          <w:trHeight w:val="376" w:hRule="atLeast"/>
          <w:tblHeader/>
          <w:jc w:val="center"/>
        </w:trPr>
        <w:tc>
          <w:tcPr>
            <w:tcW w:w="41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水域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陆域</w:t>
            </w:r>
          </w:p>
        </w:tc>
      </w:tr>
      <w:bookmarkEnd w:id="0"/>
      <w:tr>
        <w:trPr>
          <w:trHeight w:val="1011" w:hRule="atLeast"/>
          <w:jc w:val="center"/>
        </w:trPr>
        <w:tc>
          <w:tcPr>
            <w:tcW w:w="41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9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江永县粗石江镇光明村小白水饮用水水源保护区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粗石江镇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粗石江镇光明村供水工程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粗石江镇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光明村、下禾洞村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取水口至小白水上游330米的干、支流山溪水域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一级保护区水域边界沿岸纵深10米。</w:t>
            </w:r>
          </w:p>
        </w:tc>
      </w:tr>
      <w:tr>
        <w:trPr>
          <w:trHeight w:val="1011" w:hRule="atLeast"/>
          <w:jc w:val="center"/>
        </w:trPr>
        <w:tc>
          <w:tcPr>
            <w:tcW w:w="41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二级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一级保护区水域上边界分别上溯670米的干、支流山溪水域。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一、二级保护区水域边界沿岸纵深50米（一级保护区除外）</w:t>
            </w:r>
          </w:p>
        </w:tc>
      </w:tr>
      <w:tr>
        <w:trPr>
          <w:trHeight w:val="956" w:hRule="atLeast"/>
          <w:jc w:val="center"/>
        </w:trPr>
        <w:tc>
          <w:tcPr>
            <w:tcW w:w="4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江永县兰溪乡香花井村供水工程地下水饮用水水源保护区</w:t>
            </w:r>
          </w:p>
        </w:tc>
        <w:tc>
          <w:tcPr>
            <w:tcW w:w="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兰溪乡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地下水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兰溪乡香花井村供水工程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兰溪乡香花井村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5473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以取水井为中心，半径30米的圆形区域</w:t>
            </w:r>
          </w:p>
        </w:tc>
      </w:tr>
      <w:tr>
        <w:trPr>
          <w:trHeight w:val="923" w:hRule="atLeast"/>
          <w:jc w:val="center"/>
        </w:trPr>
        <w:tc>
          <w:tcPr>
            <w:tcW w:w="41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9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江永县千家峒乡古源村孟古源冲、洋头源饮用水水源保护区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千家峒乡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千家峒乡古源村供水工程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千家峒乡古源村杉木冲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组、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井边村、玉井村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管家村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</w:rPr>
              <w:t>取水口至上游330米的孟古源冲、洋头源的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  <w:lang w:val="en-US" w:eastAsia="zh-CN"/>
              </w:rPr>
              <w:t>山溪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</w:rPr>
              <w:t>水域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一级保护区水域边界沿岸纵深10米</w:t>
            </w:r>
          </w:p>
        </w:tc>
      </w:tr>
      <w:tr>
        <w:trPr>
          <w:trHeight w:val="90" w:hRule="atLeast"/>
          <w:jc w:val="center"/>
        </w:trPr>
        <w:tc>
          <w:tcPr>
            <w:tcW w:w="41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二级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</w:rPr>
              <w:t>一级保护区水域上边界分别上溯670米的孟古源冲、洋头源的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山溪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18"/>
                <w:szCs w:val="18"/>
              </w:rPr>
              <w:t>水域。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一、二级保护区水域边界沿岸纵深50米（一级保护区除外）。</w:t>
            </w:r>
          </w:p>
        </w:tc>
      </w:tr>
      <w:tr>
        <w:trPr>
          <w:trHeight w:val="976" w:hRule="atLeast"/>
          <w:jc w:val="center"/>
        </w:trPr>
        <w:tc>
          <w:tcPr>
            <w:tcW w:w="41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</w:t>
            </w:r>
          </w:p>
        </w:tc>
        <w:tc>
          <w:tcPr>
            <w:tcW w:w="19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江永县千家峒乡瓦扎湾村大古源河饮用水水源保护区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千家峒乡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千家峒乡瓦扎湾、中桂村供水工程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瓦扎湾村、中桂村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千人以上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一级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取水口至上游330米的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山溪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水域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一级保护区水域边界沿岸纵深10米</w:t>
            </w:r>
          </w:p>
        </w:tc>
      </w:tr>
      <w:tr>
        <w:trPr>
          <w:trHeight w:val="1280" w:hRule="atLeast"/>
          <w:jc w:val="center"/>
        </w:trPr>
        <w:tc>
          <w:tcPr>
            <w:tcW w:w="41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二级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一级保护区水域上边界上溯670米的干、支流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山溪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水域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一、二级保护区水域边界沿岸纵深50米（一级保护区除外）</w:t>
            </w:r>
          </w:p>
        </w:tc>
      </w:tr>
      <w:tr>
        <w:trPr>
          <w:trHeight w:val="664" w:hRule="atLeast"/>
          <w:jc w:val="center"/>
        </w:trPr>
        <w:tc>
          <w:tcPr>
            <w:tcW w:w="41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9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江永县上江圩镇甘益村白茫冲溪饮用水水源保护区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上江圩镇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河流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上江圩镇甘益村供水工程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甘益村（甘益、大路下、棠下）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千人以上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一级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取水口至源头的山溪水域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一级保护区水域边界沿岸纵深10米</w:t>
            </w:r>
          </w:p>
        </w:tc>
      </w:tr>
      <w:tr>
        <w:trPr>
          <w:trHeight w:val="885" w:hRule="atLeast"/>
          <w:jc w:val="center"/>
        </w:trPr>
        <w:tc>
          <w:tcPr>
            <w:tcW w:w="41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二级</w:t>
            </w:r>
          </w:p>
        </w:tc>
        <w:tc>
          <w:tcPr>
            <w:tcW w:w="276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271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一级保护区水域边界沿岸纵深50米（一级保护区除外）</w:t>
            </w:r>
          </w:p>
        </w:tc>
      </w:tr>
      <w:tr>
        <w:trPr>
          <w:trHeight w:val="1365" w:hRule="atLeast"/>
          <w:jc w:val="center"/>
        </w:trPr>
        <w:tc>
          <w:tcPr>
            <w:tcW w:w="4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上江圩镇河渊村供水工程地下水饮用水水源保护区</w:t>
            </w:r>
          </w:p>
        </w:tc>
        <w:tc>
          <w:tcPr>
            <w:tcW w:w="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上江圩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地下水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上江圩镇河渊村供水工程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河渊村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一级</w:t>
            </w:r>
          </w:p>
        </w:tc>
        <w:tc>
          <w:tcPr>
            <w:tcW w:w="5473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取水井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为中心，半径30米的圆形区域</w:t>
            </w:r>
          </w:p>
        </w:tc>
      </w:tr>
      <w:tr>
        <w:trPr>
          <w:trHeight w:val="659" w:hRule="atLeast"/>
          <w:jc w:val="center"/>
        </w:trPr>
        <w:tc>
          <w:tcPr>
            <w:tcW w:w="41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19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江永县上江圩镇铜山岭农场山溪饮用水水源保护区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上江圩镇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山溪型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铜山岭水厂供水工程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铜山岭农场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取水口至上游330米的山溪水域</w:t>
            </w:r>
          </w:p>
        </w:tc>
        <w:tc>
          <w:tcPr>
            <w:tcW w:w="357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一级保护区水域边界沿岸纵深10米</w:t>
            </w:r>
          </w:p>
        </w:tc>
      </w:tr>
      <w:tr>
        <w:trPr>
          <w:trHeight w:val="959" w:hRule="atLeast"/>
          <w:jc w:val="center"/>
        </w:trPr>
        <w:tc>
          <w:tcPr>
            <w:tcW w:w="41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二级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一级保护区水域上边界上溯670米的山溪水域</w:t>
            </w:r>
          </w:p>
        </w:tc>
        <w:tc>
          <w:tcPr>
            <w:tcW w:w="357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一、二级保护区水域边界沿岸纵深50米（一级保护区除外）</w:t>
            </w:r>
          </w:p>
        </w:tc>
      </w:tr>
      <w:tr>
        <w:trPr>
          <w:trHeight w:val="969" w:hRule="atLeast"/>
          <w:jc w:val="center"/>
        </w:trPr>
        <w:tc>
          <w:tcPr>
            <w:tcW w:w="4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江永县松柏乡黄锦村供水工程地下水饮用水水源保护区</w:t>
            </w:r>
          </w:p>
        </w:tc>
        <w:tc>
          <w:tcPr>
            <w:tcW w:w="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松柏乡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地下水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松柏乡兰州水库供水工程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龙凤村（龙洋村，凤田村）、黄锦村（黄泥铺村）、白马村（白马村，谷母溪村）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5473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180" w:leftChars="0" w:hanging="180" w:hanging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以取水井为中心，半径30米的圆形区域，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不包括水库水面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。</w:t>
            </w:r>
          </w:p>
        </w:tc>
      </w:tr>
      <w:tr>
        <w:trPr>
          <w:trHeight w:val="866" w:hRule="atLeast"/>
          <w:jc w:val="center"/>
        </w:trPr>
        <w:tc>
          <w:tcPr>
            <w:tcW w:w="41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19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江永县松柏乡石岭村山溪饮用水水源保护区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松柏乡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松柏乡石岭村供水工程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石岭村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取水口上游330米的山溪水域</w:t>
            </w:r>
          </w:p>
        </w:tc>
        <w:tc>
          <w:tcPr>
            <w:tcW w:w="357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一级保护区水域边界沿岸纵深10米</w:t>
            </w:r>
          </w:p>
        </w:tc>
      </w:tr>
      <w:tr>
        <w:trPr>
          <w:trHeight w:val="1007" w:hRule="atLeast"/>
          <w:jc w:val="center"/>
        </w:trPr>
        <w:tc>
          <w:tcPr>
            <w:tcW w:w="41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二级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一级保护区水域上边界上溯670米的干、支流山溪水域</w:t>
            </w:r>
          </w:p>
        </w:tc>
        <w:tc>
          <w:tcPr>
            <w:tcW w:w="357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一、二级保护区水域边界沿岸纵深50米（一级保护区除外）</w:t>
            </w:r>
          </w:p>
        </w:tc>
      </w:tr>
      <w:tr>
        <w:trPr>
          <w:trHeight w:val="1253" w:hRule="atLeast"/>
          <w:jc w:val="center"/>
        </w:trPr>
        <w:tc>
          <w:tcPr>
            <w:tcW w:w="4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9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松柏乡莲花岗村供水工程地下水饮用水水源保护区</w:t>
            </w:r>
          </w:p>
        </w:tc>
        <w:tc>
          <w:tcPr>
            <w:tcW w:w="7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松柏乡</w:t>
            </w:r>
          </w:p>
        </w:tc>
        <w:tc>
          <w:tcPr>
            <w:tcW w:w="9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地下水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松柏乡莲花岗村供水工程</w:t>
            </w:r>
          </w:p>
        </w:tc>
        <w:tc>
          <w:tcPr>
            <w:tcW w:w="9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莲花岗村-莲花洞村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千人以上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一级</w:t>
            </w:r>
          </w:p>
        </w:tc>
        <w:tc>
          <w:tcPr>
            <w:tcW w:w="5473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以取水井为中心，半径30米的圆形区域</w:t>
            </w:r>
          </w:p>
        </w:tc>
      </w:tr>
      <w:tr>
        <w:trPr>
          <w:trHeight w:val="843" w:hRule="atLeast"/>
          <w:jc w:val="center"/>
        </w:trPr>
        <w:tc>
          <w:tcPr>
            <w:tcW w:w="41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9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江永县松柏乡南峰山村大涧口溪饮用水水源保护区</w:t>
            </w:r>
          </w:p>
        </w:tc>
        <w:tc>
          <w:tcPr>
            <w:tcW w:w="7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松柏乡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松柏乡南峰山村供水工程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南峰山村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千人以上</w:t>
            </w: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取水口上游330米的山溪水域</w:t>
            </w:r>
          </w:p>
        </w:tc>
        <w:tc>
          <w:tcPr>
            <w:tcW w:w="357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一级保护区水域边界沿岸纵深10米</w:t>
            </w:r>
          </w:p>
        </w:tc>
      </w:tr>
      <w:tr>
        <w:trPr>
          <w:trHeight w:val="1230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二级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一级保护区水域上边界上溯670米的干、支流山溪水域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一、二级保护区水域边界沿岸纵深50米（一级保护区除外）</w:t>
            </w:r>
          </w:p>
        </w:tc>
      </w:tr>
      <w:tr>
        <w:trPr>
          <w:trHeight w:val="1850" w:hRule="atLeast"/>
          <w:jc w:val="center"/>
        </w:trPr>
        <w:tc>
          <w:tcPr>
            <w:tcW w:w="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192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江永县松柏乡枇杷所村供水工程地下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水饮用水水源保护区</w:t>
            </w:r>
          </w:p>
        </w:tc>
        <w:tc>
          <w:tcPr>
            <w:tcW w:w="7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松柏乡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地下水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松柏乡枇杷所村供水工程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枇杷所村</w:t>
            </w:r>
          </w:p>
        </w:tc>
        <w:tc>
          <w:tcPr>
            <w:tcW w:w="4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54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以取水井为中心，半径30米圆形区域。</w:t>
            </w:r>
          </w:p>
        </w:tc>
      </w:tr>
      <w:tr>
        <w:trPr>
          <w:trHeight w:val="1850" w:hRule="atLeast"/>
          <w:jc w:val="center"/>
        </w:trPr>
        <w:tc>
          <w:tcPr>
            <w:tcW w:w="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192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江永县松柏乡水美塘村供水工程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地下水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饮用水水源保护区</w:t>
            </w:r>
          </w:p>
        </w:tc>
        <w:tc>
          <w:tcPr>
            <w:tcW w:w="7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松柏乡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地下水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松柏乡水美塘村供水工程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水美塘村、潮水村、天鹅山村</w:t>
            </w:r>
          </w:p>
        </w:tc>
        <w:tc>
          <w:tcPr>
            <w:tcW w:w="4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54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以取水井收集池水面外径向30米范围，以及水库水面。</w:t>
            </w:r>
          </w:p>
        </w:tc>
      </w:tr>
      <w:tr>
        <w:trPr>
          <w:trHeight w:val="1447" w:hRule="atLeast"/>
          <w:jc w:val="center"/>
        </w:trPr>
        <w:tc>
          <w:tcPr>
            <w:tcW w:w="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192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江永县松柏乡西栎尾村供水工程地下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饮用水水源保护</w:t>
            </w:r>
          </w:p>
        </w:tc>
        <w:tc>
          <w:tcPr>
            <w:tcW w:w="7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松柏乡</w:t>
            </w:r>
          </w:p>
        </w:tc>
        <w:tc>
          <w:tcPr>
            <w:tcW w:w="9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地下水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松柏乡西栎尾村供水工程</w:t>
            </w:r>
          </w:p>
        </w:tc>
        <w:tc>
          <w:tcPr>
            <w:tcW w:w="99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西栎尾村</w:t>
            </w:r>
          </w:p>
        </w:tc>
        <w:tc>
          <w:tcPr>
            <w:tcW w:w="48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54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以取水井为中心半径30米范围，以及水库水面。</w:t>
            </w:r>
          </w:p>
        </w:tc>
      </w:tr>
      <w:tr>
        <w:trPr>
          <w:trHeight w:val="797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1929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江永县桃川镇六十工村崩垒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口溪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饮用水水源保护区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桃川镇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桃川镇六十工村供水工程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六十工村：大源村、六十工村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取水口至上游330米的山溪水域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一级保护区水域边界沿岸纵深10米</w:t>
            </w:r>
          </w:p>
        </w:tc>
      </w:tr>
      <w:tr>
        <w:trPr>
          <w:trHeight w:val="990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二级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一级保护区水域上边界上溯670米的山溪水域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一、二级保护区水域边界沿岸纵深50米（一级保护区除外）</w:t>
            </w:r>
          </w:p>
        </w:tc>
      </w:tr>
      <w:tr>
        <w:trPr>
          <w:trHeight w:val="923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江永县夏层铺镇洞美村山溪饮用水水源保护区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夏层铺镇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夏层铺镇洞美村供水工程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洞美村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取水口至源头的山溪水域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一级保护区水域边界沿岸纵深10米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二级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一级保护区水域边界沿岸纵深50米（一级保护区除外）</w:t>
            </w:r>
          </w:p>
        </w:tc>
      </w:tr>
      <w:tr>
        <w:trPr>
          <w:trHeight w:val="1713" w:hRule="atLeast"/>
          <w:jc w:val="center"/>
        </w:trPr>
        <w:tc>
          <w:tcPr>
            <w:tcW w:w="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江永县夏层铺镇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马蹄村供水工程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地下水饮用水水源保护区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夏层铺镇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地下水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夏层铺镇马蹄村供水工程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马蹄村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54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以取水井为中心，半径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0米的圆形区域</w:t>
            </w:r>
          </w:p>
        </w:tc>
      </w:tr>
      <w:tr>
        <w:trPr>
          <w:trHeight w:val="1686" w:hRule="atLeast"/>
          <w:jc w:val="center"/>
        </w:trPr>
        <w:tc>
          <w:tcPr>
            <w:tcW w:w="4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江永县夏层铺镇上甘棠供水工程地下水饮用水水源保护区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夏层铺镇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地下水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夏层铺镇上甘棠供水工程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上甘棠村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54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以取水井为中心，半径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0米的圆形区域</w:t>
            </w:r>
          </w:p>
        </w:tc>
      </w:tr>
      <w:tr>
        <w:trPr>
          <w:trHeight w:val="687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江永县潇浦镇何家湾村山溪饮用水水源保护区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潇浦镇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潇浦镇何家湾供水工程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何家湾村；上界头村；塘子下村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取水口至上游330米的山溪水域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一级保护区水域边界沿岸纵深10米。</w:t>
            </w:r>
          </w:p>
        </w:tc>
      </w:tr>
      <w:tr>
        <w:trPr>
          <w:trHeight w:val="1064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二级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一级保护区水域上边界上溯670米的山溪水域。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一、二级保护区水域边界沿岸纵深50米（一级保护区除外）。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9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江永县潇浦镇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紫荆村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莲花水库饮用水水源保护区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潇浦镇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湘江-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潇水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湖库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潇浦镇莲花水库供水工程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紫荆村-大坝村、上欧、上杨村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一级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水库水域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一级保护区水域边界外200米范围内的陆域，不超过大坝迎水侧坝顶、第一重山脊线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二级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水库汇水区（一级保护区除外）</w:t>
            </w:r>
          </w:p>
        </w:tc>
      </w:tr>
      <w:tr>
        <w:trPr>
          <w:trHeight w:val="714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92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江永县源口乡八十工村龙滩溪饮用水水源保护区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源口乡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源口乡八十工村供水工程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八十工村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取水口至上游330米的山溪水域。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一级保护区水域边界沿岸纵深10米。</w:t>
            </w:r>
          </w:p>
        </w:tc>
      </w:tr>
      <w:tr>
        <w:trPr>
          <w:trHeight w:val="903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二级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一级保护区水域上边界上溯670米的山溪水域。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一、二级保护区水域边界沿岸纵深50米（一级保护区除外）。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92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江永县源口乡黄金山村西河饮用水水源保护区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源口乡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源口乡黄金山村供水工程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黄金山村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取水口至上游330米的山溪水域。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一级保护区水域边界沿岸纵深10米。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二级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一级保护区水域上边界上溯670米的山溪水域。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一、二级保护区水域边界沿岸纵深50米（一级保护区除外）。</w:t>
            </w:r>
          </w:p>
        </w:tc>
      </w:tr>
      <w:tr>
        <w:trPr>
          <w:trHeight w:val="561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92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江永县源口乡清溪村清溪河饮用水水源保护区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源口乡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源口乡清溪村供水工程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清溪村-清溪村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取水口至上游330米的山溪水域。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一级保护区水域边界沿岸纵深10米。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二级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一级保护区水域上边界上溯670米的山溪水域。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一、二级保护区水域边界沿岸纵深50米（一级保护区除外）。</w:t>
            </w:r>
          </w:p>
        </w:tc>
      </w:tr>
      <w:tr>
        <w:trPr>
          <w:trHeight w:val="454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92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江永县源口乡清溪源村东河饮用水水源保护区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源口乡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源口乡清溪源村供水工程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清溪源村-清溪源村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取水口至上游330米的山溪水域。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一级保护区水域边界沿岸纵深10米。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二级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一级保护区水域上边界上溯670米的山溪水域。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一、二级保护区水域边界沿岸纵深50米（一级保护区除外）。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92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江永县源口乡小古漯村小白水饮用水水源保护区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江永县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源口乡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源口乡小古漯村供水工程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小古漯村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千人以上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取水口至上游530米的干、支流山溪水域。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一级保护区水域边界沿岸纵深10米。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二级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一级保护区水域上边界分别上溯670米的干、支流山溪水域。</w:t>
            </w:r>
          </w:p>
        </w:tc>
        <w:tc>
          <w:tcPr>
            <w:tcW w:w="35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一、二级保护区水域边界沿岸纵深50米（一级保护区除外）。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1929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永州市江永县夏层铺镇福洞联村山溪水饮用水水源保护区</w:t>
            </w:r>
          </w:p>
        </w:tc>
        <w:tc>
          <w:tcPr>
            <w:tcW w:w="78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 xml:space="preserve"> 江永县</w:t>
            </w:r>
          </w:p>
        </w:tc>
        <w:tc>
          <w:tcPr>
            <w:tcW w:w="93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夏层铺镇</w:t>
            </w:r>
          </w:p>
        </w:tc>
        <w:tc>
          <w:tcPr>
            <w:tcW w:w="93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珠江-西江-桂江</w:t>
            </w:r>
          </w:p>
        </w:tc>
        <w:tc>
          <w:tcPr>
            <w:tcW w:w="705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1215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层铺镇福洞联村水厂</w:t>
            </w:r>
          </w:p>
        </w:tc>
        <w:tc>
          <w:tcPr>
            <w:tcW w:w="99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夏层铺镇冷水铺、昔形塘村、邓家村、福洞村等周边村组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千人以上</w:t>
            </w:r>
          </w:p>
        </w:tc>
        <w:tc>
          <w:tcPr>
            <w:tcW w:w="4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1911" w:type="dxa"/>
            <w:gridSpan w:val="2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取水口至上游330米的干、支流山溪水域。</w:t>
            </w:r>
          </w:p>
        </w:tc>
        <w:tc>
          <w:tcPr>
            <w:tcW w:w="3562" w:type="dxa"/>
            <w:gridSpan w:val="2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一级保护区水域边界沿岸纵深10米。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二级</w:t>
            </w:r>
          </w:p>
        </w:tc>
        <w:tc>
          <w:tcPr>
            <w:tcW w:w="1911" w:type="dxa"/>
            <w:gridSpan w:val="2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一级保护区水域上边界上溯670米的干、支流山溪水域。</w:t>
            </w:r>
          </w:p>
        </w:tc>
        <w:tc>
          <w:tcPr>
            <w:tcW w:w="3562" w:type="dxa"/>
            <w:gridSpan w:val="2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一、二级保护区水域边界沿岸纵深50米（一级保护区除外）。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1929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永州市江永县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松柏瑶族乡水流界水库饮用水水源保护区</w:t>
            </w:r>
          </w:p>
        </w:tc>
        <w:tc>
          <w:tcPr>
            <w:tcW w:w="78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江永县</w:t>
            </w:r>
          </w:p>
        </w:tc>
        <w:tc>
          <w:tcPr>
            <w:tcW w:w="93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松柏瑶族乡</w:t>
            </w:r>
          </w:p>
        </w:tc>
        <w:tc>
          <w:tcPr>
            <w:tcW w:w="93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湘江-潇水</w:t>
            </w:r>
          </w:p>
        </w:tc>
        <w:tc>
          <w:tcPr>
            <w:tcW w:w="705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湖库</w:t>
            </w:r>
          </w:p>
        </w:tc>
        <w:tc>
          <w:tcPr>
            <w:tcW w:w="1215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黄甲岭水厂</w:t>
            </w:r>
          </w:p>
        </w:tc>
        <w:tc>
          <w:tcPr>
            <w:tcW w:w="99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黄甲岭社区、黄甲岭村等周边村组</w:t>
            </w:r>
          </w:p>
        </w:tc>
        <w:tc>
          <w:tcPr>
            <w:tcW w:w="480" w:type="dxa"/>
            <w:vMerge w:val="restart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千人以上</w:t>
            </w:r>
          </w:p>
        </w:tc>
        <w:tc>
          <w:tcPr>
            <w:tcW w:w="4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一级</w:t>
            </w:r>
          </w:p>
        </w:tc>
        <w:tc>
          <w:tcPr>
            <w:tcW w:w="191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水库水域</w:t>
            </w:r>
          </w:p>
        </w:tc>
        <w:tc>
          <w:tcPr>
            <w:tcW w:w="3562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一级保护区水域边界外纵深200米范围内的区域，不超过大坝迎水侧坝顶，西南侧以道贺高速为界</w:t>
            </w:r>
          </w:p>
        </w:tc>
      </w:tr>
      <w:tr>
        <w:trPr>
          <w:trHeight w:val="884" w:hRule="atLeast"/>
          <w:jc w:val="center"/>
        </w:trPr>
        <w:tc>
          <w:tcPr>
            <w:tcW w:w="411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3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二级</w:t>
            </w:r>
          </w:p>
        </w:tc>
        <w:tc>
          <w:tcPr>
            <w:tcW w:w="1911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K"/>
              </w:rPr>
              <w:t>/</w:t>
            </w:r>
          </w:p>
        </w:tc>
        <w:tc>
          <w:tcPr>
            <w:tcW w:w="3562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水库汇水区域（一级保护区陆域除外）</w:t>
            </w:r>
          </w:p>
        </w:tc>
      </w:tr>
    </w:tbl>
    <w:p>
      <w:pPr>
        <w:pStyle w:val="7"/>
        <w:widowControl w:val="0"/>
        <w:numPr>
          <w:numId w:val="0"/>
        </w:numPr>
        <w:spacing w:after="120"/>
        <w:jc w:val="both"/>
        <w:rPr>
          <w:rFonts w:hint="eastAsia" w:ascii="仿宋" w:hAnsi="仿宋" w:eastAsia="仿宋" w:cs="仿宋"/>
          <w:color w:val="auto"/>
          <w:sz w:val="18"/>
          <w:szCs w:val="18"/>
          <w:lang w:val="en-US" w:eastAsia="zh-CN"/>
        </w:rPr>
      </w:pPr>
    </w:p>
    <w:sectPr>
      <w:footerReference r:id="rId4" w:type="default"/>
      <w:pgSz w:w="16838" w:h="11906" w:orient="landscape"/>
      <w:pgMar w:top="850" w:right="850" w:bottom="850" w:left="850" w:header="851" w:footer="113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5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1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0489411">
    <w:nsid w:val="03026843"/>
    <w:multiLevelType w:val="singleLevel"/>
    <w:tmpl w:val="03026843"/>
    <w:lvl w:ilvl="0" w:tentative="1">
      <w:start w:val="1"/>
      <w:numFmt w:val="decimal"/>
      <w:pStyle w:val="3"/>
      <w:suff w:val="nothing"/>
      <w:lvlText w:val="%1、"/>
      <w:lvlJc w:val="center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</w:abstractNum>
  <w:abstractNum w:abstractNumId="594316767">
    <w:nsid w:val="236C8DDF"/>
    <w:multiLevelType w:val="multilevel"/>
    <w:tmpl w:val="236C8DDF"/>
    <w:lvl w:ilvl="0" w:tentative="1">
      <w:start w:val="1"/>
      <w:numFmt w:val="decimal"/>
      <w:lvlText w:val="第%1章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pStyle w:val="4"/>
      <w:lvlText w:val="%1.%2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  <w:sz w:val="30"/>
      </w:rPr>
    </w:lvl>
    <w:lvl w:ilvl="3" w:tentative="1">
      <w:start w:val="1"/>
      <w:numFmt w:val="decimal"/>
      <w:pStyle w:val="6"/>
      <w:lvlText w:val="%1.%2.%3.%4"/>
      <w:lvlJc w:val="left"/>
      <w:pPr>
        <w:ind w:left="426" w:firstLine="0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1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50489411"/>
  </w:num>
  <w:num w:numId="2">
    <w:abstractNumId w:val="5943167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numPr>
        <w:ilvl w:val="1"/>
        <w:numId w:val="2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7"/>
    <w:qFormat/>
    <w:uiPriority w:val="0"/>
    <w:pPr>
      <w:keepNext/>
      <w:keepLines/>
      <w:numPr>
        <w:ilvl w:val="2"/>
        <w:numId w:val="2"/>
      </w:numPr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28"/>
    <w:qFormat/>
    <w:uiPriority w:val="0"/>
    <w:pPr>
      <w:keepNext/>
      <w:keepLines/>
      <w:numPr>
        <w:ilvl w:val="3"/>
        <w:numId w:val="2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/>
      <w:color w:val="000000"/>
      <w:sz w:val="24"/>
      <w:szCs w:val="24"/>
      <w:lang w:val="en-US" w:eastAsia="zh-CN" w:bidi="ar-SA"/>
    </w:rPr>
  </w:style>
  <w:style w:type="paragraph" w:styleId="7">
    <w:name w:val="Body Text First Indent"/>
    <w:basedOn w:val="8"/>
    <w:link w:val="30"/>
    <w:qFormat/>
    <w:uiPriority w:val="0"/>
    <w:pPr>
      <w:ind w:firstLine="420" w:firstLineChars="100"/>
    </w:pPr>
    <w:rPr>
      <w:szCs w:val="22"/>
    </w:rPr>
  </w:style>
  <w:style w:type="paragraph" w:styleId="8">
    <w:name w:val="Body Text"/>
    <w:basedOn w:val="1"/>
    <w:next w:val="1"/>
    <w:link w:val="29"/>
    <w:unhideWhenUsed/>
    <w:qFormat/>
    <w:uiPriority w:val="0"/>
    <w:pPr>
      <w:spacing w:after="120"/>
    </w:pPr>
  </w:style>
  <w:style w:type="paragraph" w:styleId="9">
    <w:name w:val="Document Map"/>
    <w:basedOn w:val="1"/>
    <w:link w:val="31"/>
    <w:qFormat/>
    <w:uiPriority w:val="0"/>
    <w:rPr>
      <w:rFonts w:ascii="宋体"/>
      <w:sz w:val="18"/>
      <w:szCs w:val="18"/>
    </w:rPr>
  </w:style>
  <w:style w:type="paragraph" w:styleId="10">
    <w:name w:val="Body Text Indent"/>
    <w:basedOn w:val="1"/>
    <w:link w:val="32"/>
    <w:qFormat/>
    <w:uiPriority w:val="0"/>
    <w:pPr>
      <w:spacing w:after="120"/>
      <w:ind w:left="420" w:leftChars="200"/>
    </w:pPr>
  </w:style>
  <w:style w:type="paragraph" w:styleId="11">
    <w:name w:val="Balloon Text"/>
    <w:basedOn w:val="1"/>
    <w:link w:val="33"/>
    <w:qFormat/>
    <w:uiPriority w:val="0"/>
    <w:rPr>
      <w:sz w:val="18"/>
      <w:szCs w:val="18"/>
    </w:rPr>
  </w:style>
  <w:style w:type="paragraph" w:styleId="12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Body Text First Indent 2"/>
    <w:basedOn w:val="10"/>
    <w:link w:val="36"/>
    <w:qFormat/>
    <w:uiPriority w:val="0"/>
    <w:pPr>
      <w:ind w:firstLine="420" w:firstLineChars="200"/>
    </w:pPr>
  </w:style>
  <w:style w:type="paragraph" w:styleId="14">
    <w:name w:val="header"/>
    <w:basedOn w:val="1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6">
    <w:name w:val="Emphasis"/>
    <w:basedOn w:val="15"/>
    <w:qFormat/>
    <w:uiPriority w:val="0"/>
    <w:rPr>
      <w:color w:val="CC0000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paragraph" w:customStyle="1" w:styleId="18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customStyle="1" w:styleId="19">
    <w:name w:val="表文字"/>
    <w:basedOn w:val="1"/>
    <w:qFormat/>
    <w:uiPriority w:val="0"/>
    <w:pPr>
      <w:spacing w:line="240" w:lineRule="atLeast"/>
      <w:jc w:val="center"/>
    </w:pPr>
    <w:rPr>
      <w:kern w:val="10"/>
      <w:sz w:val="24"/>
      <w:szCs w:val="20"/>
    </w:rPr>
  </w:style>
  <w:style w:type="paragraph" w:customStyle="1" w:styleId="20">
    <w:name w:val="_Style 1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_Style 2"/>
    <w:basedOn w:val="1"/>
    <w:next w:val="1"/>
    <w:qFormat/>
    <w:uiPriority w:val="29"/>
    <w:rPr>
      <w:i/>
      <w:iCs/>
      <w:color w:val="000000"/>
    </w:rPr>
  </w:style>
  <w:style w:type="paragraph" w:customStyle="1" w:styleId="22">
    <w:name w:val="表格文字"/>
    <w:basedOn w:val="1"/>
    <w:link w:val="40"/>
    <w:qFormat/>
    <w:uiPriority w:val="0"/>
    <w:pPr>
      <w:widowControl/>
    </w:pPr>
    <w:rPr>
      <w:rFonts w:ascii="仿宋_GB2312" w:hAnsi="宋体" w:eastAsia="仿宋_GB2312" w:cs="宋体"/>
      <w:color w:val="000000"/>
      <w:szCs w:val="21"/>
    </w:rPr>
  </w:style>
  <w:style w:type="paragraph" w:customStyle="1" w:styleId="23">
    <w:name w:val="标准正文"/>
    <w:basedOn w:val="1"/>
    <w:link w:val="41"/>
    <w:qFormat/>
    <w:uiPriority w:val="0"/>
    <w:pPr>
      <w:spacing w:line="360" w:lineRule="auto"/>
      <w:ind w:firstLine="544" w:firstLineChars="200"/>
    </w:pPr>
    <w:rPr>
      <w:rFonts w:ascii="仿宋_GB2312" w:hAnsi="Calibri" w:eastAsia="仿宋_GB2312" w:cs="黑体"/>
      <w:spacing w:val="-4"/>
      <w:position w:val="6"/>
      <w:sz w:val="28"/>
      <w:szCs w:val="28"/>
    </w:rPr>
  </w:style>
  <w:style w:type="paragraph" w:customStyle="1" w:styleId="24">
    <w:name w:val="0正文"/>
    <w:unhideWhenUsed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character" w:customStyle="1" w:styleId="25">
    <w:name w:val="标题 1 Char Char"/>
    <w:basedOn w:val="15"/>
    <w:link w:val="3"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26">
    <w:name w:val="标题 2 Char Char"/>
    <w:basedOn w:val="15"/>
    <w:link w:val="4"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27">
    <w:name w:val="标题 3 Char Char"/>
    <w:basedOn w:val="15"/>
    <w:link w:val="5"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28">
    <w:name w:val="标题 4 Char Char"/>
    <w:basedOn w:val="15"/>
    <w:link w:val="6"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29">
    <w:name w:val="正文文本 Char Char"/>
    <w:basedOn w:val="15"/>
    <w:link w:val="8"/>
    <w:uiPriority w:val="99"/>
    <w:rPr>
      <w:rFonts w:ascii="Calibri" w:hAnsi="Calibri" w:eastAsia="宋体" w:cs="Times New Roman"/>
      <w:szCs w:val="24"/>
    </w:rPr>
  </w:style>
  <w:style w:type="character" w:customStyle="1" w:styleId="30">
    <w:name w:val="正文首行缩进 Char Char"/>
    <w:basedOn w:val="29"/>
    <w:link w:val="7"/>
    <w:uiPriority w:val="0"/>
    <w:rPr/>
  </w:style>
  <w:style w:type="character" w:customStyle="1" w:styleId="31">
    <w:name w:val="文档结构图 Char Char"/>
    <w:basedOn w:val="15"/>
    <w:link w:val="9"/>
    <w:uiPriority w:val="0"/>
    <w:rPr>
      <w:rFonts w:ascii="宋体" w:hAnsi="Calibri" w:eastAsia="宋体" w:cs="Times New Roman"/>
      <w:sz w:val="18"/>
      <w:szCs w:val="18"/>
    </w:rPr>
  </w:style>
  <w:style w:type="character" w:customStyle="1" w:styleId="32">
    <w:name w:val="正文文本缩进 Char Char"/>
    <w:basedOn w:val="15"/>
    <w:link w:val="10"/>
    <w:uiPriority w:val="0"/>
    <w:rPr>
      <w:rFonts w:ascii="Calibri" w:hAnsi="Calibri" w:eastAsia="宋体" w:cs="Times New Roman"/>
      <w:szCs w:val="24"/>
    </w:rPr>
  </w:style>
  <w:style w:type="character" w:customStyle="1" w:styleId="33">
    <w:name w:val="批注框文本 Char Char"/>
    <w:basedOn w:val="15"/>
    <w:link w:val="11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4">
    <w:name w:val="页脚 Char Char"/>
    <w:basedOn w:val="15"/>
    <w:link w:val="12"/>
    <w:uiPriority w:val="0"/>
    <w:rPr>
      <w:rFonts w:ascii="Calibri" w:hAnsi="Calibri" w:eastAsia="宋体" w:cs="Times New Roman"/>
      <w:sz w:val="18"/>
      <w:szCs w:val="24"/>
    </w:rPr>
  </w:style>
  <w:style w:type="character" w:customStyle="1" w:styleId="35">
    <w:name w:val="页眉 Char Char"/>
    <w:basedOn w:val="15"/>
    <w:link w:val="14"/>
    <w:uiPriority w:val="0"/>
    <w:rPr>
      <w:rFonts w:ascii="Calibri" w:hAnsi="Calibri" w:eastAsia="宋体" w:cs="Times New Roman"/>
      <w:sz w:val="18"/>
      <w:szCs w:val="24"/>
    </w:rPr>
  </w:style>
  <w:style w:type="character" w:customStyle="1" w:styleId="36">
    <w:name w:val="正文首行缩进 2 Char Char"/>
    <w:basedOn w:val="32"/>
    <w:link w:val="13"/>
    <w:uiPriority w:val="0"/>
    <w:rPr/>
  </w:style>
  <w:style w:type="character" w:customStyle="1" w:styleId="37">
    <w:name w:val="font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4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9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表格文字 Char Char"/>
    <w:link w:val="22"/>
    <w:qFormat/>
    <w:uiPriority w:val="0"/>
    <w:rPr>
      <w:rFonts w:ascii="仿宋_GB2312" w:hAnsi="宋体" w:eastAsia="仿宋_GB2312" w:cs="宋体"/>
      <w:color w:val="000000"/>
      <w:szCs w:val="21"/>
    </w:rPr>
  </w:style>
  <w:style w:type="character" w:customStyle="1" w:styleId="41">
    <w:name w:val="标准正文 Char Char"/>
    <w:link w:val="23"/>
    <w:qFormat/>
    <w:uiPriority w:val="0"/>
    <w:rPr>
      <w:rFonts w:ascii="仿宋_GB2312" w:eastAsia="仿宋_GB2312"/>
      <w:spacing w:val="-4"/>
      <w:position w:val="6"/>
      <w:sz w:val="28"/>
      <w:szCs w:val="28"/>
    </w:rPr>
  </w:style>
  <w:style w:type="character" w:customStyle="1" w:styleId="42">
    <w:name w:val="font11"/>
    <w:basedOn w:val="1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3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102</Pages>
  <Words>26401</Words>
  <Characters>49638</Characters>
  <Lines>102</Lines>
  <Paragraphs>28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2020-10-26T03:49:00Z</dcterms:created>
  <dc:creator>微软用户</dc:creator>
  <cp:lastModifiedBy>Administrator</cp:lastModifiedBy>
  <cp:lastPrinted>2020-12-15T07:33:44Z</cp:lastPrinted>
  <dcterms:modified xsi:type="dcterms:W3CDTF">2020-12-15T07:35:03Z</dcterms:modified>
  <dc:title>江永县村级千人以上集中式饮用水水源保护区划分方案及基本资料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