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20" w:lineRule="exact"/>
        <w:ind w:firstLine="0" w:firstLineChars="0"/>
        <w:jc w:val="both"/>
        <w:rPr>
          <w:rFonts w:hint="eastAsia" w:asciiTheme="minorEastAsia" w:hAnsiTheme="minorEastAsia" w:eastAsiaTheme="minorEastAsia"/>
          <w:kern w:val="0"/>
          <w:sz w:val="24"/>
          <w:lang w:eastAsia="zh-CN"/>
        </w:rPr>
      </w:pPr>
    </w:p>
    <w:p>
      <w:pPr>
        <w:keepNext w:val="0"/>
        <w:keepLines w:val="0"/>
        <w:pageBreakBefore w:val="0"/>
        <w:kinsoku/>
        <w:wordWrap/>
        <w:overflowPunct/>
        <w:topLinePunct w:val="0"/>
        <w:autoSpaceDE/>
        <w:autoSpaceDN/>
        <w:bidi w:val="0"/>
        <w:adjustRightInd/>
        <w:snapToGrid/>
        <w:spacing w:line="520" w:lineRule="exact"/>
        <w:ind w:firstLine="1080" w:firstLineChars="300"/>
        <w:jc w:val="left"/>
        <w:rPr>
          <w:rFonts w:hint="eastAsia" w:ascii="仿宋" w:hAnsi="仿宋" w:eastAsia="仿宋" w:cs="仿宋"/>
          <w:kern w:val="0"/>
          <w:sz w:val="36"/>
          <w:szCs w:val="36"/>
        </w:rPr>
      </w:pPr>
      <w:bookmarkStart w:id="0" w:name="_GoBack"/>
      <w:r>
        <w:rPr>
          <w:rFonts w:hint="eastAsia" w:ascii="仿宋" w:hAnsi="仿宋" w:eastAsia="仿宋" w:cs="仿宋"/>
          <w:kern w:val="0"/>
          <w:sz w:val="36"/>
          <w:szCs w:val="36"/>
        </w:rPr>
        <w:t>国有江永县铜山岭农场部门整体支出绩效评价表</w:t>
      </w:r>
    </w:p>
    <w:bookmarkEnd w:id="0"/>
    <w:p>
      <w:pPr>
        <w:keepNext w:val="0"/>
        <w:keepLines w:val="0"/>
        <w:pageBreakBefore w:val="0"/>
        <w:kinsoku/>
        <w:wordWrap/>
        <w:overflowPunct/>
        <w:topLinePunct w:val="0"/>
        <w:autoSpaceDE/>
        <w:autoSpaceDN/>
        <w:bidi w:val="0"/>
        <w:adjustRightInd/>
        <w:snapToGrid/>
        <w:spacing w:line="520" w:lineRule="exact"/>
        <w:ind w:firstLine="0" w:firstLineChars="0"/>
        <w:jc w:val="left"/>
        <w:rPr>
          <w:rFonts w:hint="eastAsia" w:ascii="仿宋" w:hAnsi="仿宋" w:eastAsia="仿宋" w:cs="仿宋"/>
          <w:kern w:val="0"/>
          <w:sz w:val="24"/>
          <w:szCs w:val="24"/>
        </w:rPr>
      </w:pPr>
    </w:p>
    <w:tbl>
      <w:tblPr>
        <w:tblStyle w:val="7"/>
        <w:tblW w:w="10797" w:type="dxa"/>
        <w:jc w:val="center"/>
        <w:tblLayout w:type="fixed"/>
        <w:tblCellMar>
          <w:top w:w="0" w:type="dxa"/>
          <w:left w:w="108" w:type="dxa"/>
          <w:bottom w:w="0" w:type="dxa"/>
          <w:right w:w="108" w:type="dxa"/>
        </w:tblCellMar>
      </w:tblPr>
      <w:tblGrid>
        <w:gridCol w:w="688"/>
        <w:gridCol w:w="683"/>
        <w:gridCol w:w="480"/>
        <w:gridCol w:w="579"/>
        <w:gridCol w:w="851"/>
        <w:gridCol w:w="796"/>
        <w:gridCol w:w="2737"/>
        <w:gridCol w:w="3324"/>
        <w:gridCol w:w="659"/>
      </w:tblGrid>
      <w:tr>
        <w:tblPrEx>
          <w:tblCellMar>
            <w:top w:w="0" w:type="dxa"/>
            <w:left w:w="108" w:type="dxa"/>
            <w:bottom w:w="0" w:type="dxa"/>
            <w:right w:w="108" w:type="dxa"/>
          </w:tblCellMar>
        </w:tblPrEx>
        <w:trPr>
          <w:trHeight w:val="232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6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4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5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8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三级</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指标</w:t>
            </w:r>
          </w:p>
        </w:tc>
        <w:tc>
          <w:tcPr>
            <w:tcW w:w="7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27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评价标准</w:t>
            </w:r>
          </w:p>
        </w:tc>
        <w:tc>
          <w:tcPr>
            <w:tcW w:w="33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指标说明</w:t>
            </w:r>
          </w:p>
        </w:tc>
        <w:tc>
          <w:tcPr>
            <w:tcW w:w="6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得分</w:t>
            </w:r>
          </w:p>
        </w:tc>
      </w:tr>
      <w:tr>
        <w:tblPrEx>
          <w:tblCellMar>
            <w:top w:w="0" w:type="dxa"/>
            <w:left w:w="108" w:type="dxa"/>
            <w:bottom w:w="0" w:type="dxa"/>
            <w:right w:w="108" w:type="dxa"/>
          </w:tblCellMar>
        </w:tblPrEx>
        <w:trPr>
          <w:trHeight w:val="1814" w:hRule="atLeast"/>
          <w:jc w:val="center"/>
        </w:trPr>
        <w:tc>
          <w:tcPr>
            <w:tcW w:w="68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投入</w:t>
            </w:r>
          </w:p>
        </w:tc>
        <w:tc>
          <w:tcPr>
            <w:tcW w:w="683" w:type="dxa"/>
            <w:vMerge w:val="restart"/>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480"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预算配置</w:t>
            </w:r>
          </w:p>
        </w:tc>
        <w:tc>
          <w:tcPr>
            <w:tcW w:w="579" w:type="dxa"/>
            <w:vMerge w:val="restart"/>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在职人员控制率</w:t>
            </w:r>
          </w:p>
        </w:tc>
        <w:tc>
          <w:tcPr>
            <w:tcW w:w="7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7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以100%为标准。在职人员控制率≦100%，计5分；每超过一个百分点扣0.5分，扣完为止。</w:t>
            </w:r>
          </w:p>
        </w:tc>
        <w:tc>
          <w:tcPr>
            <w:tcW w:w="33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在职人员控制率=（在职人员数/编制数）×100%，在职人员数：部门（单位）实际在职人数，以市财政局确定的部门决算编制口径为准。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编制数：机构编制部门核定批复的部门（单位）的人员编制数。</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r>
      <w:tr>
        <w:tblPrEx>
          <w:tblCellMar>
            <w:top w:w="0" w:type="dxa"/>
            <w:left w:w="108" w:type="dxa"/>
            <w:bottom w:w="0" w:type="dxa"/>
            <w:right w:w="108" w:type="dxa"/>
          </w:tblCellMar>
        </w:tblPrEx>
        <w:trPr>
          <w:trHeight w:val="1134" w:hRule="atLeast"/>
          <w:jc w:val="center"/>
        </w:trPr>
        <w:tc>
          <w:tcPr>
            <w:tcW w:w="6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83"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579"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“三公经费”变动率</w:t>
            </w:r>
          </w:p>
        </w:tc>
        <w:tc>
          <w:tcPr>
            <w:tcW w:w="7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7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“三公经费”变动率≦0,计5分；“三公经费”＞0，每超过一个百分点扣0.8分，扣完为止。</w:t>
            </w:r>
          </w:p>
        </w:tc>
        <w:tc>
          <w:tcPr>
            <w:tcW w:w="3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“三公经费”变动率=[（本年度“三公经费”预算数-上年度“三公经费”预算数）/上年度“三公经费”预算数]×100%</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r>
      <w:tr>
        <w:tblPrEx>
          <w:tblCellMar>
            <w:top w:w="0" w:type="dxa"/>
            <w:left w:w="108" w:type="dxa"/>
            <w:bottom w:w="0" w:type="dxa"/>
            <w:right w:w="108" w:type="dxa"/>
          </w:tblCellMar>
        </w:tblPrEx>
        <w:trPr>
          <w:trHeight w:val="1134" w:hRule="atLeast"/>
          <w:jc w:val="center"/>
        </w:trPr>
        <w:tc>
          <w:tcPr>
            <w:tcW w:w="688"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过                                                                                                                                       程</w:t>
            </w:r>
          </w:p>
        </w:tc>
        <w:tc>
          <w:tcPr>
            <w:tcW w:w="683" w:type="dxa"/>
            <w:vMerge w:val="restart"/>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60</w:t>
            </w:r>
          </w:p>
        </w:tc>
        <w:tc>
          <w:tcPr>
            <w:tcW w:w="480" w:type="dxa"/>
            <w:vMerge w:val="restart"/>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预算执行</w:t>
            </w:r>
          </w:p>
        </w:tc>
        <w:tc>
          <w:tcPr>
            <w:tcW w:w="579" w:type="dxa"/>
            <w:vMerge w:val="restart"/>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预算完成率</w:t>
            </w:r>
          </w:p>
        </w:tc>
        <w:tc>
          <w:tcPr>
            <w:tcW w:w="7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7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100%计满分，每低于5%扣2分，扣完为止。</w:t>
            </w:r>
          </w:p>
        </w:tc>
        <w:tc>
          <w:tcPr>
            <w:tcW w:w="3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预算完成率=（上年结转+年初预算+本年追加预算-年末结余）/（上年结转+年初预算+本年追加预算）×100%。</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r>
      <w:tr>
        <w:tblPrEx>
          <w:tblCellMar>
            <w:top w:w="0" w:type="dxa"/>
            <w:left w:w="108" w:type="dxa"/>
            <w:bottom w:w="0" w:type="dxa"/>
            <w:right w:w="108" w:type="dxa"/>
          </w:tblCellMar>
        </w:tblPrEx>
        <w:trPr>
          <w:trHeight w:val="1273" w:hRule="atLeast"/>
          <w:jc w:val="center"/>
        </w:trPr>
        <w:tc>
          <w:tcPr>
            <w:tcW w:w="68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83"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579"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预算控制率</w:t>
            </w:r>
          </w:p>
        </w:tc>
        <w:tc>
          <w:tcPr>
            <w:tcW w:w="7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7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预算控制率=0，计5分；0-10%（含），计4分；10-20%（含），计3分；20-30%（含），计2分；大于30%不得分。</w:t>
            </w:r>
          </w:p>
        </w:tc>
        <w:tc>
          <w:tcPr>
            <w:tcW w:w="3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预算控制率=（本年追加预算/年初预算）×100%。</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r>
      <w:tr>
        <w:tblPrEx>
          <w:tblCellMar>
            <w:top w:w="0" w:type="dxa"/>
            <w:left w:w="108" w:type="dxa"/>
            <w:bottom w:w="0" w:type="dxa"/>
            <w:right w:w="108" w:type="dxa"/>
          </w:tblCellMar>
        </w:tblPrEx>
        <w:trPr>
          <w:trHeight w:val="1325" w:hRule="atLeast"/>
          <w:jc w:val="center"/>
        </w:trPr>
        <w:tc>
          <w:tcPr>
            <w:tcW w:w="68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83"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579"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新建楼堂馆所面积控制率</w:t>
            </w:r>
          </w:p>
        </w:tc>
        <w:tc>
          <w:tcPr>
            <w:tcW w:w="7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7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100%以下（含）计满分，每超出5%扣2分，扣完为止。没有楼堂馆所项目的部门按满分计算。</w:t>
            </w:r>
          </w:p>
        </w:tc>
        <w:tc>
          <w:tcPr>
            <w:tcW w:w="3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楼堂馆所面积控制率=实际建设面积/批准建设面积×100% 。</w:t>
            </w:r>
            <w:r>
              <w:rPr>
                <w:rFonts w:hint="eastAsia" w:ascii="仿宋" w:hAnsi="仿宋" w:eastAsia="仿宋" w:cs="仿宋"/>
                <w:kern w:val="0"/>
                <w:sz w:val="24"/>
                <w:szCs w:val="24"/>
              </w:rPr>
              <w:br w:type="textWrapping"/>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r>
      <w:tr>
        <w:tblPrEx>
          <w:tblCellMar>
            <w:top w:w="0" w:type="dxa"/>
            <w:left w:w="108" w:type="dxa"/>
            <w:bottom w:w="0" w:type="dxa"/>
            <w:right w:w="108" w:type="dxa"/>
          </w:tblCellMar>
        </w:tblPrEx>
        <w:trPr>
          <w:trHeight w:val="1543" w:hRule="atLeast"/>
          <w:jc w:val="center"/>
        </w:trPr>
        <w:tc>
          <w:tcPr>
            <w:tcW w:w="68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83"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579"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新建楼堂馆所投资概算控制</w:t>
            </w:r>
          </w:p>
        </w:tc>
        <w:tc>
          <w:tcPr>
            <w:tcW w:w="7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7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100%以下（含）计满分，每超出5%扣2分，扣完为止。</w:t>
            </w:r>
          </w:p>
        </w:tc>
        <w:tc>
          <w:tcPr>
            <w:tcW w:w="3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楼堂馆所投资预算控制率=实际投资金额/批准投资金额×100% 。</w:t>
            </w:r>
            <w:r>
              <w:rPr>
                <w:rFonts w:hint="eastAsia" w:ascii="仿宋" w:hAnsi="仿宋" w:eastAsia="仿宋" w:cs="仿宋"/>
                <w:kern w:val="0"/>
                <w:sz w:val="24"/>
                <w:szCs w:val="24"/>
              </w:rPr>
              <w:br w:type="textWrapping"/>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r>
      <w:tr>
        <w:tblPrEx>
          <w:tblCellMar>
            <w:top w:w="0" w:type="dxa"/>
            <w:left w:w="108" w:type="dxa"/>
            <w:bottom w:w="0" w:type="dxa"/>
            <w:right w:w="108" w:type="dxa"/>
          </w:tblCellMar>
        </w:tblPrEx>
        <w:trPr>
          <w:trHeight w:val="1562" w:hRule="atLeast"/>
          <w:jc w:val="center"/>
        </w:trPr>
        <w:tc>
          <w:tcPr>
            <w:tcW w:w="68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83"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restart"/>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预算管理</w:t>
            </w:r>
          </w:p>
        </w:tc>
        <w:tc>
          <w:tcPr>
            <w:tcW w:w="579" w:type="dxa"/>
            <w:vMerge w:val="restart"/>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公用经费控制率</w:t>
            </w:r>
          </w:p>
        </w:tc>
        <w:tc>
          <w:tcPr>
            <w:tcW w:w="7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7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100%以下（含）计满分，每超出1%扣1分，扣完为止。</w:t>
            </w:r>
          </w:p>
        </w:tc>
        <w:tc>
          <w:tcPr>
            <w:tcW w:w="3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公用经费控制率=（实际支出公用经费总额/预算安排公用经费总额）×100%。</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公用经费支出是指部门基本支出中的一般商品和服务支出。</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r>
      <w:tr>
        <w:tblPrEx>
          <w:tblCellMar>
            <w:top w:w="0" w:type="dxa"/>
            <w:left w:w="108" w:type="dxa"/>
            <w:bottom w:w="0" w:type="dxa"/>
            <w:right w:w="108" w:type="dxa"/>
          </w:tblCellMar>
        </w:tblPrEx>
        <w:trPr>
          <w:trHeight w:val="1134" w:hRule="atLeast"/>
          <w:jc w:val="center"/>
        </w:trPr>
        <w:tc>
          <w:tcPr>
            <w:tcW w:w="68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83"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579"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“三公经费”控制率</w:t>
            </w:r>
          </w:p>
        </w:tc>
        <w:tc>
          <w:tcPr>
            <w:tcW w:w="7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27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100%以下（含）计满分，每超出1%扣1分，扣完为止。</w:t>
            </w:r>
          </w:p>
        </w:tc>
        <w:tc>
          <w:tcPr>
            <w:tcW w:w="3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“三公经费”控制率-（“三公经费”实际支出数/“三公经费”预算安排数）×100%。</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7</w:t>
            </w:r>
          </w:p>
        </w:tc>
      </w:tr>
      <w:tr>
        <w:tblPrEx>
          <w:tblCellMar>
            <w:top w:w="0" w:type="dxa"/>
            <w:left w:w="108" w:type="dxa"/>
            <w:bottom w:w="0" w:type="dxa"/>
            <w:right w:w="108" w:type="dxa"/>
          </w:tblCellMar>
        </w:tblPrEx>
        <w:trPr>
          <w:trHeight w:val="1134" w:hRule="atLeast"/>
          <w:jc w:val="center"/>
        </w:trPr>
        <w:tc>
          <w:tcPr>
            <w:tcW w:w="68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83"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579"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政府采购执行率</w:t>
            </w:r>
          </w:p>
        </w:tc>
        <w:tc>
          <w:tcPr>
            <w:tcW w:w="7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7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100%计满分，每超过（降低）5%扣2分。扣完为止。</w:t>
            </w:r>
          </w:p>
        </w:tc>
        <w:tc>
          <w:tcPr>
            <w:tcW w:w="3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政府采购执行率=（实际政府采购金额/政府采购预算数）×100%</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1134" w:hRule="atLeast"/>
          <w:jc w:val="center"/>
        </w:trPr>
        <w:tc>
          <w:tcPr>
            <w:tcW w:w="688"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过                                                                                                                                       程</w:t>
            </w:r>
          </w:p>
        </w:tc>
        <w:tc>
          <w:tcPr>
            <w:tcW w:w="683" w:type="dxa"/>
            <w:vMerge w:val="restart"/>
            <w:tcBorders>
              <w:top w:val="nil"/>
              <w:left w:val="nil"/>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预算管理</w:t>
            </w:r>
          </w:p>
        </w:tc>
        <w:tc>
          <w:tcPr>
            <w:tcW w:w="579"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管理制度健全性</w:t>
            </w:r>
          </w:p>
        </w:tc>
        <w:tc>
          <w:tcPr>
            <w:tcW w:w="7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606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①有内部财务管理制度、会计核算制度等管理制度，2分；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②有本部门厉行节约制度,2分；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③相关管理制度合法、合规、完整，2分；④相关管理制度得到有效执行，2分。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8</w:t>
            </w:r>
          </w:p>
        </w:tc>
      </w:tr>
      <w:tr>
        <w:tblPrEx>
          <w:tblCellMar>
            <w:top w:w="0" w:type="dxa"/>
            <w:left w:w="108" w:type="dxa"/>
            <w:bottom w:w="0" w:type="dxa"/>
            <w:right w:w="108" w:type="dxa"/>
          </w:tblCellMar>
        </w:tblPrEx>
        <w:trPr>
          <w:trHeight w:val="2687" w:hRule="atLeast"/>
          <w:jc w:val="center"/>
        </w:trPr>
        <w:tc>
          <w:tcPr>
            <w:tcW w:w="68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83"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579"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资金使用合规性</w:t>
            </w:r>
          </w:p>
        </w:tc>
        <w:tc>
          <w:tcPr>
            <w:tcW w:w="7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606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以上情况每出现一例不符合要求的扣1分，扣完为止。</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1134" w:hRule="atLeast"/>
          <w:jc w:val="center"/>
        </w:trPr>
        <w:tc>
          <w:tcPr>
            <w:tcW w:w="68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83"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579"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预决算信息公开性</w:t>
            </w:r>
          </w:p>
        </w:tc>
        <w:tc>
          <w:tcPr>
            <w:tcW w:w="7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7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预决算信息是指与部门预算、执行、决算、监督、绩效等管理相关的信息。</w:t>
            </w: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r>
      <w:tr>
        <w:tblPrEx>
          <w:tblCellMar>
            <w:top w:w="0" w:type="dxa"/>
            <w:left w:w="108" w:type="dxa"/>
            <w:bottom w:w="0" w:type="dxa"/>
            <w:right w:w="108" w:type="dxa"/>
          </w:tblCellMar>
        </w:tblPrEx>
        <w:trPr>
          <w:trHeight w:val="1134" w:hRule="atLeast"/>
          <w:jc w:val="center"/>
        </w:trPr>
        <w:tc>
          <w:tcPr>
            <w:tcW w:w="688"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产出及效率</w:t>
            </w:r>
          </w:p>
        </w:tc>
        <w:tc>
          <w:tcPr>
            <w:tcW w:w="683" w:type="dxa"/>
            <w:vMerge w:val="restart"/>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职责履行</w:t>
            </w:r>
          </w:p>
        </w:tc>
        <w:tc>
          <w:tcPr>
            <w:tcW w:w="5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851"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重点工作实际完成率</w:t>
            </w:r>
          </w:p>
        </w:tc>
        <w:tc>
          <w:tcPr>
            <w:tcW w:w="7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7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根据绩效办2021年对各部门为民办实事和部门重点工程与重点工作考核分数折算。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该项得分=（绩效办对应部分考核得分/350）*8</w:t>
            </w:r>
          </w:p>
        </w:tc>
        <w:tc>
          <w:tcPr>
            <w:tcW w:w="3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8</w:t>
            </w:r>
          </w:p>
        </w:tc>
      </w:tr>
      <w:tr>
        <w:tblPrEx>
          <w:tblCellMar>
            <w:top w:w="0" w:type="dxa"/>
            <w:left w:w="108" w:type="dxa"/>
            <w:bottom w:w="0" w:type="dxa"/>
            <w:right w:w="108" w:type="dxa"/>
          </w:tblCellMar>
        </w:tblPrEx>
        <w:trPr>
          <w:trHeight w:val="1134" w:hRule="atLeast"/>
          <w:jc w:val="center"/>
        </w:trPr>
        <w:tc>
          <w:tcPr>
            <w:tcW w:w="68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83"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restart"/>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履职 效益</w:t>
            </w:r>
          </w:p>
        </w:tc>
        <w:tc>
          <w:tcPr>
            <w:tcW w:w="579" w:type="dxa"/>
            <w:vMerge w:val="restart"/>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经济效益</w:t>
            </w:r>
          </w:p>
        </w:tc>
        <w:tc>
          <w:tcPr>
            <w:tcW w:w="796" w:type="dxa"/>
            <w:vMerge w:val="restart"/>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6061" w:type="dxa"/>
            <w:gridSpan w:val="2"/>
            <w:vMerge w:val="restart"/>
            <w:tcBorders>
              <w:top w:val="nil"/>
              <w:left w:val="nil"/>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此两项指标为设置部门整体支出绩效评价指标时必须考虑的共性要素，可根据部门实际情况有选择的进行设置，并将其细化为相应的个性化指标。</w:t>
            </w:r>
          </w:p>
        </w:tc>
        <w:tc>
          <w:tcPr>
            <w:tcW w:w="659"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134" w:hRule="atLeast"/>
          <w:jc w:val="center"/>
        </w:trPr>
        <w:tc>
          <w:tcPr>
            <w:tcW w:w="68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83"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579"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社会效益</w:t>
            </w:r>
          </w:p>
        </w:tc>
        <w:tc>
          <w:tcPr>
            <w:tcW w:w="796"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061" w:type="dxa"/>
            <w:gridSpan w:val="2"/>
            <w:vMerge w:val="continue"/>
            <w:tcBorders>
              <w:top w:val="nil"/>
              <w:left w:val="nil"/>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59"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10</w:t>
            </w:r>
          </w:p>
        </w:tc>
      </w:tr>
      <w:tr>
        <w:tblPrEx>
          <w:tblCellMar>
            <w:top w:w="0" w:type="dxa"/>
            <w:left w:w="108" w:type="dxa"/>
            <w:bottom w:w="0" w:type="dxa"/>
            <w:right w:w="108" w:type="dxa"/>
          </w:tblCellMar>
        </w:tblPrEx>
        <w:trPr>
          <w:trHeight w:val="1134" w:hRule="atLeast"/>
          <w:jc w:val="center"/>
        </w:trPr>
        <w:tc>
          <w:tcPr>
            <w:tcW w:w="68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83"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continue"/>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579" w:type="dxa"/>
            <w:vMerge w:val="restart"/>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行政效能</w:t>
            </w:r>
          </w:p>
        </w:tc>
        <w:tc>
          <w:tcPr>
            <w:tcW w:w="7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7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促进部门改进文风会风，加强经费及资产管理，推动网上办事，提高行政效率，降低行政成本效果较好的计6分；一般3分；无效果或者效果不明显0分。</w:t>
            </w:r>
          </w:p>
        </w:tc>
        <w:tc>
          <w:tcPr>
            <w:tcW w:w="33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根据部门自评材料评定。</w:t>
            </w:r>
          </w:p>
        </w:tc>
        <w:tc>
          <w:tcPr>
            <w:tcW w:w="6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r>
      <w:tr>
        <w:tblPrEx>
          <w:tblCellMar>
            <w:top w:w="0" w:type="dxa"/>
            <w:left w:w="108" w:type="dxa"/>
            <w:bottom w:w="0" w:type="dxa"/>
            <w:right w:w="108" w:type="dxa"/>
          </w:tblCellMar>
        </w:tblPrEx>
        <w:trPr>
          <w:trHeight w:val="1241" w:hRule="atLeast"/>
          <w:jc w:val="center"/>
        </w:trPr>
        <w:tc>
          <w:tcPr>
            <w:tcW w:w="688"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683"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480"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579"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tc>
        <w:tc>
          <w:tcPr>
            <w:tcW w:w="851"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社会公众或服务对象满意度</w:t>
            </w:r>
          </w:p>
        </w:tc>
        <w:tc>
          <w:tcPr>
            <w:tcW w:w="796"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737"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90%（含）以上计6分；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80%（含）-90%，计4分；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70%（含）-80%，计2分；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低于70%计0分。</w:t>
            </w:r>
          </w:p>
        </w:tc>
        <w:tc>
          <w:tcPr>
            <w:tcW w:w="332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社会公众或服务对象是指部门（单位）履行职责而影响到的部门、群体或个人，一般采取社会调查的方式。</w:t>
            </w:r>
          </w:p>
        </w:tc>
        <w:tc>
          <w:tcPr>
            <w:tcW w:w="659"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1134" w:hRule="atLeast"/>
          <w:jc w:val="center"/>
        </w:trPr>
        <w:tc>
          <w:tcPr>
            <w:tcW w:w="137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合计（分）</w:t>
            </w:r>
          </w:p>
        </w:tc>
        <w:tc>
          <w:tcPr>
            <w:tcW w:w="9426"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w:t>
            </w:r>
          </w:p>
        </w:tc>
      </w:tr>
    </w:tbl>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仿宋" w:hAnsi="仿宋" w:eastAsia="仿宋" w:cs="仿宋"/>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asciiTheme="minorEastAsia" w:hAnsiTheme="minorEastAsia" w:eastAsiaTheme="minorEastAsia"/>
          <w:kern w:val="0"/>
          <w:sz w:val="24"/>
        </w:rPr>
      </w:pPr>
      <w:r>
        <w:rPr>
          <w:rFonts w:hint="eastAsia" w:asciiTheme="minorEastAsia" w:hAnsiTheme="minorEastAsia" w:eastAsiaTheme="minorEastAsia"/>
          <w:kern w:val="0"/>
          <w:sz w:val="24"/>
          <w:lang w:eastAsia="zh-CN"/>
        </w:rPr>
        <w:t>、</w:t>
      </w:r>
    </w:p>
    <w:tbl>
      <w:tblPr>
        <w:tblStyle w:val="7"/>
        <w:tblW w:w="10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885"/>
        <w:gridCol w:w="795"/>
        <w:gridCol w:w="1125"/>
        <w:gridCol w:w="108"/>
        <w:gridCol w:w="652"/>
        <w:gridCol w:w="485"/>
        <w:gridCol w:w="310"/>
        <w:gridCol w:w="1156"/>
        <w:gridCol w:w="367"/>
        <w:gridCol w:w="597"/>
        <w:gridCol w:w="258"/>
        <w:gridCol w:w="855"/>
        <w:gridCol w:w="190"/>
        <w:gridCol w:w="545"/>
        <w:gridCol w:w="718"/>
        <w:gridCol w:w="107"/>
        <w:gridCol w:w="996"/>
        <w:gridCol w:w="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400" w:hRule="atLeast"/>
        </w:trPr>
        <w:tc>
          <w:tcPr>
            <w:tcW w:w="10242"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408" w:hRule="atLeast"/>
        </w:trPr>
        <w:tc>
          <w:tcPr>
            <w:tcW w:w="300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财政供养人员情况</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编制数</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2024年实际在职人数</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444" w:hRule="atLeast"/>
        </w:trPr>
        <w:tc>
          <w:tcPr>
            <w:tcW w:w="300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b/>
                <w:bCs/>
                <w:i w:val="0"/>
                <w:iCs w:val="0"/>
                <w:color w:val="000000"/>
                <w:sz w:val="18"/>
                <w:szCs w:val="18"/>
                <w:u w:val="none"/>
              </w:rPr>
            </w:pP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636"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经费控制情况(万元)</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2023年决算数</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2024年预算数</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1、公务用车购置和维护经费</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其中：公车购置</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公车运行维护</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2、出国经费</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3、公务接待</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1、业务工作经费</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2、运行维护经费</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3、本级专项资金（一个专项一行）</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其中：办公经费</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水费、电费、差旅费</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会议费、培训费</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政府采购金额</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88"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部门基本支出预算调整 </w:t>
            </w:r>
          </w:p>
        </w:tc>
        <w:tc>
          <w:tcPr>
            <w:tcW w:w="26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726" w:hRule="atLeast"/>
        </w:trPr>
        <w:tc>
          <w:tcPr>
            <w:tcW w:w="300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楼堂馆所控制情况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（2024年完工项目）</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批复规模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实际规模</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规模控制率</w:t>
            </w:r>
          </w:p>
        </w:tc>
        <w:tc>
          <w:tcPr>
            <w:tcW w:w="1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预算投资</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实际投资</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564" w:hRule="atLeast"/>
        </w:trPr>
        <w:tc>
          <w:tcPr>
            <w:tcW w:w="300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b/>
                <w:bCs/>
                <w:i w:val="0"/>
                <w:iCs w:val="0"/>
                <w:color w:val="000000"/>
                <w:sz w:val="18"/>
                <w:szCs w:val="18"/>
                <w:u w:val="none"/>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13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ind w:left="0" w:leftChars="0" w:firstLine="0" w:firstLineChars="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7" w:type="dxa"/>
          <w:trHeight w:val="720" w:hRule="atLeast"/>
        </w:trPr>
        <w:tc>
          <w:tcPr>
            <w:tcW w:w="3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厉行节约保障措施</w:t>
            </w:r>
          </w:p>
        </w:tc>
        <w:tc>
          <w:tcPr>
            <w:tcW w:w="723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严格控制三公经费支出，做到少花钱，多办事。通过多维度、系统性举措，将节约理念融入日常运行，形成长效机制。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39" w:hRule="atLeast"/>
        </w:trPr>
        <w:tc>
          <w:tcPr>
            <w:tcW w:w="10546"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60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预算部门名称</w:t>
            </w:r>
          </w:p>
        </w:tc>
        <w:tc>
          <w:tcPr>
            <w:tcW w:w="886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国有江永县铜山岭农场（黑山国有林场）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642"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ascii="Microsoft YaHei UI" w:hAnsi="Microsoft YaHei UI" w:eastAsia="Microsoft YaHei UI" w:cs="Microsoft YaHei UI"/>
                <w:i w:val="0"/>
                <w:iCs w:val="0"/>
                <w:color w:val="000000"/>
                <w:sz w:val="18"/>
                <w:szCs w:val="18"/>
                <w:u w:val="none"/>
              </w:rPr>
            </w:pPr>
            <w:r>
              <w:rPr>
                <w:rFonts w:hint="eastAsia" w:ascii="Microsoft YaHei UI" w:hAnsi="Microsoft YaHei UI" w:eastAsia="Microsoft YaHei UI" w:cs="Microsoft YaHei UI"/>
                <w:i w:val="0"/>
                <w:iCs w:val="0"/>
                <w:color w:val="000000"/>
                <w:kern w:val="0"/>
                <w:sz w:val="18"/>
                <w:szCs w:val="18"/>
                <w:u w:val="none"/>
                <w:lang w:val="en-US" w:eastAsia="zh-CN" w:bidi="ar"/>
              </w:rPr>
              <w:t>年度预算申请</w:t>
            </w:r>
            <w:r>
              <w:rPr>
                <w:rFonts w:hint="eastAsia" w:ascii="Microsoft YaHei UI" w:hAnsi="Microsoft YaHei UI" w:eastAsia="Microsoft YaHei UI" w:cs="Microsoft YaHei UI"/>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8"/>
                <w:szCs w:val="18"/>
                <w:u w:val="none"/>
                <w:lang w:val="en-US" w:eastAsia="zh-CN" w:bidi="ar"/>
              </w:rPr>
              <w:t>(万元)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年初预算数</w:t>
            </w:r>
            <w:r>
              <w:rPr>
                <w:rFonts w:hint="default" w:ascii="仿宋_GB2312" w:hAnsi="宋体" w:eastAsia="仿宋_GB2312" w:cs="仿宋_GB2312"/>
                <w:b/>
                <w:bCs/>
                <w:i w:val="0"/>
                <w:iCs w:val="0"/>
                <w:color w:val="000000"/>
                <w:kern w:val="0"/>
                <w:sz w:val="18"/>
                <w:szCs w:val="18"/>
                <w:u w:val="none"/>
                <w:lang w:val="en-US" w:eastAsia="zh-CN" w:bidi="ar"/>
              </w:rPr>
              <w:br w:type="textWrapping"/>
            </w:r>
            <w:r>
              <w:rPr>
                <w:rFonts w:hint="default" w:ascii="仿宋_GB2312" w:hAnsi="宋体" w:eastAsia="仿宋_GB2312" w:cs="仿宋_GB2312"/>
                <w:b/>
                <w:bCs/>
                <w:i w:val="0"/>
                <w:iCs w:val="0"/>
                <w:color w:val="000000"/>
                <w:kern w:val="0"/>
                <w:sz w:val="18"/>
                <w:szCs w:val="18"/>
                <w:u w:val="none"/>
                <w:lang w:val="en-US" w:eastAsia="zh-CN" w:bidi="ar"/>
              </w:rPr>
              <w:t>(万元)</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32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78"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eastAsia" w:ascii="Microsoft YaHei UI" w:hAnsi="Microsoft YaHei UI" w:eastAsia="Microsoft YaHei UI" w:cs="Microsoft YaHei UI"/>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年度资金总额：</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181.83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355.44</w:t>
            </w:r>
          </w:p>
        </w:tc>
        <w:tc>
          <w:tcPr>
            <w:tcW w:w="32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355.44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33"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eastAsia" w:ascii="Microsoft YaHei UI" w:hAnsi="Microsoft YaHei UI" w:eastAsia="Microsoft YaHei UI" w:cs="Microsoft YaHei UI"/>
                <w:i w:val="0"/>
                <w:iCs w:val="0"/>
                <w:color w:val="000000"/>
                <w:sz w:val="18"/>
                <w:szCs w:val="18"/>
                <w:u w:val="none"/>
              </w:rPr>
            </w:pPr>
          </w:p>
        </w:tc>
        <w:tc>
          <w:tcPr>
            <w:tcW w:w="59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left"/>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按收入性质分：</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按支出性质分：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743"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eastAsia" w:ascii="Microsoft YaHei UI" w:hAnsi="Microsoft YaHei UI" w:eastAsia="Microsoft YaHei UI" w:cs="Microsoft YaHei UI"/>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一般公共预算：</w:t>
            </w:r>
          </w:p>
        </w:tc>
        <w:tc>
          <w:tcPr>
            <w:tcW w:w="4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170.32</w:t>
            </w: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其中:基本支出：</w:t>
            </w:r>
          </w:p>
        </w:tc>
        <w:tc>
          <w:tcPr>
            <w:tcW w:w="221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355.44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29"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eastAsia" w:ascii="Microsoft YaHei UI" w:hAnsi="Microsoft YaHei UI" w:eastAsia="Microsoft YaHei UI" w:cs="Microsoft YaHei UI"/>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政府性基金拨款：</w:t>
            </w:r>
          </w:p>
        </w:tc>
        <w:tc>
          <w:tcPr>
            <w:tcW w:w="4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8"/>
                <w:szCs w:val="18"/>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b/>
                <w:bCs/>
                <w:i w:val="0"/>
                <w:iCs w:val="0"/>
                <w:color w:val="000000"/>
                <w:sz w:val="18"/>
                <w:szCs w:val="18"/>
                <w:u w:val="none"/>
              </w:rPr>
            </w:pPr>
          </w:p>
        </w:tc>
        <w:tc>
          <w:tcPr>
            <w:tcW w:w="221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705"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eastAsia" w:ascii="Microsoft YaHei UI" w:hAnsi="Microsoft YaHei UI" w:eastAsia="Microsoft YaHei UI" w:cs="Microsoft YaHei UI"/>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纳入专户管理的非税收入拨款：</w:t>
            </w:r>
          </w:p>
        </w:tc>
        <w:tc>
          <w:tcPr>
            <w:tcW w:w="4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8"/>
                <w:szCs w:val="18"/>
                <w:u w:val="none"/>
              </w:rPr>
            </w:pP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221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69"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eastAsia" w:ascii="Microsoft YaHei UI" w:hAnsi="Microsoft YaHei UI" w:eastAsia="Microsoft YaHei UI" w:cs="Microsoft YaHei UI"/>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其他资金</w:t>
            </w:r>
          </w:p>
        </w:tc>
        <w:tc>
          <w:tcPr>
            <w:tcW w:w="4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185.12</w:t>
            </w: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b/>
                <w:bCs/>
                <w:i w:val="0"/>
                <w:iCs w:val="0"/>
                <w:color w:val="000000"/>
                <w:sz w:val="18"/>
                <w:szCs w:val="18"/>
                <w:u w:val="none"/>
              </w:rPr>
            </w:pPr>
          </w:p>
        </w:tc>
        <w:tc>
          <w:tcPr>
            <w:tcW w:w="221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39"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年度总体目标</w:t>
            </w:r>
          </w:p>
        </w:tc>
        <w:tc>
          <w:tcPr>
            <w:tcW w:w="59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预期目标</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64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default" w:ascii="仿宋_GB2312" w:hAnsi="宋体" w:eastAsia="仿宋_GB2312" w:cs="仿宋_GB2312"/>
                <w:b/>
                <w:bCs/>
                <w:i w:val="0"/>
                <w:iCs w:val="0"/>
                <w:color w:val="000000"/>
                <w:sz w:val="18"/>
                <w:szCs w:val="18"/>
                <w:u w:val="none"/>
              </w:rPr>
            </w:pPr>
          </w:p>
        </w:tc>
        <w:tc>
          <w:tcPr>
            <w:tcW w:w="59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left"/>
              <w:textAlignment w:val="center"/>
              <w:rPr>
                <w:rFonts w:hint="default" w:ascii="仿宋_GB2312" w:hAnsi="宋体" w:eastAsia="仿宋_GB2312" w:cs="仿宋_GB2312"/>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目标1：有效保护森林资源，维护生态安全，做好天然林、国家公益林和省级公益林管理工作，促进林业可持续发展。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目标2：做好管护区域内的森林防火宣传及扑救工作，确保国有森林资源不受损失；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目标3：加强</w:t>
            </w:r>
            <w:r>
              <w:rPr>
                <w:rFonts w:hint="eastAsia" w:ascii="Times New Roman" w:hAnsi="Times New Roman" w:cs="Times New Roman"/>
                <w:i w:val="0"/>
                <w:iCs w:val="0"/>
                <w:color w:val="000000"/>
                <w:kern w:val="0"/>
                <w:sz w:val="18"/>
                <w:szCs w:val="18"/>
                <w:u w:val="none"/>
                <w:lang w:val="en-US" w:eastAsia="zh-CN" w:bidi="ar"/>
              </w:rPr>
              <w:t>农林场</w:t>
            </w:r>
            <w:r>
              <w:rPr>
                <w:rFonts w:hint="default" w:ascii="Times New Roman" w:hAnsi="Times New Roman" w:eastAsia="宋体" w:cs="Times New Roman"/>
                <w:i w:val="0"/>
                <w:iCs w:val="0"/>
                <w:color w:val="000000"/>
                <w:kern w:val="0"/>
                <w:sz w:val="18"/>
                <w:szCs w:val="18"/>
                <w:u w:val="none"/>
                <w:lang w:val="en-US" w:eastAsia="zh-CN" w:bidi="ar"/>
              </w:rPr>
              <w:t>社会事务管理工作，保障职工生活，确保辖区社会安全稳定。</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1、有效保护了森林资源，维护了生态安全，做好了天然林、国家公益林和省级公益林管理工作，促进了林业可持续发展。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2、做好了管护区域内的森林防火宣传及扑救工作，确保了国有森林资源不受损失。</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3、加强了</w:t>
            </w:r>
            <w:r>
              <w:rPr>
                <w:rFonts w:hint="eastAsia" w:ascii="Times New Roman" w:hAnsi="Times New Roman" w:cs="Times New Roman"/>
                <w:i w:val="0"/>
                <w:iCs w:val="0"/>
                <w:color w:val="000000"/>
                <w:kern w:val="0"/>
                <w:sz w:val="18"/>
                <w:szCs w:val="18"/>
                <w:u w:val="none"/>
                <w:lang w:val="en-US" w:eastAsia="zh-CN" w:bidi="ar"/>
              </w:rPr>
              <w:t>农林场</w:t>
            </w:r>
            <w:r>
              <w:rPr>
                <w:rFonts w:hint="default" w:ascii="Times New Roman" w:hAnsi="Times New Roman" w:eastAsia="宋体" w:cs="Times New Roman"/>
                <w:i w:val="0"/>
                <w:iCs w:val="0"/>
                <w:color w:val="000000"/>
                <w:kern w:val="0"/>
                <w:sz w:val="18"/>
                <w:szCs w:val="18"/>
                <w:u w:val="none"/>
                <w:lang w:val="en-US" w:eastAsia="zh-CN" w:bidi="ar"/>
              </w:rPr>
              <w:t>社会事务管理工作，保障了职工生活，确保了辖区社会安全稳定。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绩效指标</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一级指标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三级指标</w:t>
            </w: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年度指标值</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5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评扣分标准</w:t>
            </w:r>
          </w:p>
        </w:tc>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分值</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得分</w:t>
            </w:r>
          </w:p>
        </w:tc>
        <w:tc>
          <w:tcPr>
            <w:tcW w:w="295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02"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default" w:ascii="仿宋_GB2312" w:hAnsi="宋体" w:eastAsia="仿宋_GB2312" w:cs="仿宋_GB2312"/>
                <w:b/>
                <w:bCs/>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default" w:ascii="仿宋_GB2312" w:hAnsi="宋体" w:eastAsia="仿宋_GB2312" w:cs="仿宋_GB2312"/>
                <w:b/>
                <w:bCs/>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default" w:ascii="仿宋_GB2312" w:hAnsi="宋体" w:eastAsia="仿宋_GB2312" w:cs="仿宋_GB2312"/>
                <w:b/>
                <w:bCs/>
                <w:i w:val="0"/>
                <w:iCs w:val="0"/>
                <w:color w:val="000000"/>
                <w:sz w:val="18"/>
                <w:szCs w:val="18"/>
                <w:u w:val="none"/>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default" w:ascii="仿宋_GB2312" w:hAnsi="宋体" w:eastAsia="仿宋_GB2312" w:cs="仿宋_GB2312"/>
                <w:b/>
                <w:bCs/>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b/>
                <w:bCs/>
                <w:i w:val="0"/>
                <w:iCs w:val="0"/>
                <w:color w:val="000000"/>
                <w:sz w:val="18"/>
                <w:szCs w:val="18"/>
                <w:u w:val="none"/>
              </w:rPr>
            </w:pPr>
          </w:p>
        </w:tc>
        <w:tc>
          <w:tcPr>
            <w:tcW w:w="1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default" w:ascii="仿宋_GB2312" w:hAnsi="宋体" w:eastAsia="仿宋_GB2312" w:cs="仿宋_GB2312"/>
                <w:b/>
                <w:bCs/>
                <w:i w:val="0"/>
                <w:iCs w:val="0"/>
                <w:color w:val="000000"/>
                <w:sz w:val="18"/>
                <w:szCs w:val="18"/>
                <w:u w:val="none"/>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default" w:ascii="仿宋_GB2312" w:hAnsi="宋体" w:eastAsia="仿宋_GB2312" w:cs="仿宋_GB2312"/>
                <w:b/>
                <w:bCs/>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default" w:ascii="仿宋_GB2312" w:hAnsi="宋体" w:eastAsia="仿宋_GB2312" w:cs="仿宋_GB2312"/>
                <w:b/>
                <w:bCs/>
                <w:i w:val="0"/>
                <w:iCs w:val="0"/>
                <w:color w:val="000000"/>
                <w:sz w:val="18"/>
                <w:szCs w:val="18"/>
                <w:u w:val="none"/>
              </w:rPr>
            </w:pPr>
          </w:p>
        </w:tc>
        <w:tc>
          <w:tcPr>
            <w:tcW w:w="295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45"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绩效指标</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单位全年考核人数</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lang w:val="en-US"/>
              </w:rPr>
            </w:pPr>
            <w:r>
              <w:rPr>
                <w:rFonts w:hint="default" w:ascii="仿宋_GB2312" w:hAnsi="宋体" w:eastAsia="仿宋_GB2312" w:cs="仿宋_GB2312"/>
                <w:i w:val="0"/>
                <w:iCs w:val="0"/>
                <w:color w:val="000000"/>
                <w:kern w:val="0"/>
                <w:sz w:val="18"/>
                <w:szCs w:val="18"/>
                <w:u w:val="none"/>
                <w:lang w:val="en-US" w:eastAsia="zh-CN" w:bidi="ar"/>
              </w:rPr>
              <w:t>20</w:t>
            </w:r>
            <w:r>
              <w:rPr>
                <w:rFonts w:hint="eastAsia" w:ascii="仿宋_GB2312" w:hAnsi="宋体" w:eastAsia="仿宋_GB2312" w:cs="仿宋_GB2312"/>
                <w:i w:val="0"/>
                <w:iCs w:val="0"/>
                <w:color w:val="000000"/>
                <w:kern w:val="0"/>
                <w:sz w:val="18"/>
                <w:szCs w:val="18"/>
                <w:u w:val="none"/>
                <w:lang w:val="en-US" w:eastAsia="zh-CN" w:bidi="ar"/>
              </w:rPr>
              <w:t>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lang w:val="en-US"/>
              </w:rPr>
            </w:pPr>
            <w:r>
              <w:rPr>
                <w:rFonts w:hint="default" w:ascii="仿宋_GB2312" w:hAnsi="宋体" w:eastAsia="仿宋_GB2312" w:cs="仿宋_GB2312"/>
                <w:i w:val="0"/>
                <w:iCs w:val="0"/>
                <w:color w:val="000000"/>
                <w:kern w:val="0"/>
                <w:sz w:val="18"/>
                <w:szCs w:val="18"/>
                <w:u w:val="none"/>
                <w:lang w:val="en-US" w:eastAsia="zh-CN" w:bidi="ar"/>
              </w:rPr>
              <w:t>16</w:t>
            </w:r>
            <w:r>
              <w:rPr>
                <w:rFonts w:hint="eastAsia" w:ascii="仿宋_GB2312" w:hAnsi="宋体" w:eastAsia="仿宋_GB2312" w:cs="仿宋_GB2312"/>
                <w:i w:val="0"/>
                <w:iCs w:val="0"/>
                <w:color w:val="000000"/>
                <w:kern w:val="0"/>
                <w:sz w:val="18"/>
                <w:szCs w:val="18"/>
                <w:u w:val="none"/>
                <w:lang w:val="en-US" w:eastAsia="zh-CN" w:bidi="ar"/>
              </w:rPr>
              <w:t>人</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单位在编人员≤20人得5分，≥20人且每增加1人扣1分，直至分数扣完。</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天然林蓄积量</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lang w:val="en-US"/>
              </w:rPr>
            </w:pPr>
            <w:r>
              <w:rPr>
                <w:rFonts w:hint="default" w:ascii="仿宋_GB2312" w:hAnsi="宋体" w:eastAsia="仿宋_GB2312" w:cs="仿宋_GB2312"/>
                <w:i w:val="0"/>
                <w:iCs w:val="0"/>
                <w:color w:val="000000"/>
                <w:kern w:val="0"/>
                <w:sz w:val="18"/>
                <w:szCs w:val="18"/>
                <w:u w:val="none"/>
                <w:lang w:val="en-US" w:eastAsia="zh-CN" w:bidi="ar"/>
              </w:rPr>
              <w:t>315808.1</w:t>
            </w:r>
            <w:r>
              <w:rPr>
                <w:rFonts w:hint="eastAsia" w:ascii="仿宋_GB2312" w:hAnsi="宋体" w:eastAsia="仿宋_GB2312" w:cs="仿宋_GB2312"/>
                <w:i w:val="0"/>
                <w:iCs w:val="0"/>
                <w:color w:val="000000"/>
                <w:kern w:val="0"/>
                <w:sz w:val="18"/>
                <w:szCs w:val="18"/>
                <w:u w:val="none"/>
                <w:lang w:val="en-US" w:eastAsia="zh-CN" w:bidi="ar"/>
              </w:rPr>
              <w:t>亩</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lang w:val="en-US"/>
              </w:rPr>
            </w:pPr>
            <w:r>
              <w:rPr>
                <w:rFonts w:hint="default" w:ascii="仿宋_GB2312" w:hAnsi="宋体" w:eastAsia="仿宋_GB2312" w:cs="仿宋_GB2312"/>
                <w:i w:val="0"/>
                <w:iCs w:val="0"/>
                <w:color w:val="000000"/>
                <w:kern w:val="0"/>
                <w:sz w:val="18"/>
                <w:szCs w:val="18"/>
                <w:u w:val="none"/>
                <w:lang w:val="en-US" w:eastAsia="zh-CN" w:bidi="ar"/>
              </w:rPr>
              <w:t>315808.1</w:t>
            </w:r>
            <w:r>
              <w:rPr>
                <w:rFonts w:hint="eastAsia" w:ascii="仿宋_GB2312" w:hAnsi="宋体" w:eastAsia="仿宋_GB2312" w:cs="仿宋_GB2312"/>
                <w:i w:val="0"/>
                <w:iCs w:val="0"/>
                <w:color w:val="000000"/>
                <w:kern w:val="0"/>
                <w:sz w:val="18"/>
                <w:szCs w:val="18"/>
                <w:u w:val="none"/>
                <w:lang w:val="en-US" w:eastAsia="zh-CN" w:bidi="ar"/>
              </w:rPr>
              <w:t>亩</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完成10分，没有达到要求减5分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天然林资源森林蓄积量持续增长</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显著</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显著</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显著得5分，否则不得分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护林员补助兑现率</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lang w:val="en-US"/>
              </w:rPr>
            </w:pPr>
            <w:r>
              <w:rPr>
                <w:rFonts w:hint="default" w:ascii="仿宋_GB2312" w:hAnsi="宋体" w:eastAsia="仿宋_GB2312" w:cs="仿宋_GB2312"/>
                <w:i w:val="0"/>
                <w:iCs w:val="0"/>
                <w:color w:val="000000"/>
                <w:kern w:val="0"/>
                <w:sz w:val="18"/>
                <w:szCs w:val="18"/>
                <w:u w:val="none"/>
                <w:lang w:val="en-US" w:eastAsia="zh-CN" w:bidi="ar"/>
              </w:rPr>
              <w:t>90</w:t>
            </w:r>
            <w:r>
              <w:rPr>
                <w:rFonts w:hint="eastAsia" w:ascii="仿宋_GB2312" w:hAnsi="宋体" w:eastAsia="仿宋_GB2312" w:cs="仿宋_GB2312"/>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≥90%得5分，每减少5%减1分。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提升辖区内居民收入水平</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显著</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显著</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显著的5分，否则不得分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森林生态系统生态效益情况</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有效提升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有效提升</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有效提升得5分，没有达到要求则按实际进行扣分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生态系统和生物多样性保护情况</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有效保护</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有效保护</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显著得5分，没有达到要求则按实际进行扣分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持续发挥生态作用</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显著</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显著</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显著得10分，没有达到要求则按实际进行扣分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周边群众满意度</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≥90%得10分，每减少5%减1分。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全年资金预算投入</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lang w:val="en-US"/>
              </w:rPr>
            </w:pPr>
            <w:r>
              <w:rPr>
                <w:rFonts w:hint="default" w:ascii="仿宋_GB2312" w:hAnsi="宋体" w:eastAsia="仿宋_GB2312" w:cs="仿宋_GB2312"/>
                <w:i w:val="0"/>
                <w:iCs w:val="0"/>
                <w:color w:val="000000"/>
                <w:kern w:val="0"/>
                <w:sz w:val="18"/>
                <w:szCs w:val="18"/>
                <w:u w:val="none"/>
                <w:lang w:val="en-US" w:eastAsia="zh-CN" w:bidi="ar"/>
              </w:rPr>
              <w:t>181.83</w:t>
            </w:r>
            <w:r>
              <w:rPr>
                <w:rFonts w:hint="eastAsia" w:ascii="仿宋_GB2312" w:hAnsi="宋体" w:eastAsia="仿宋_GB2312" w:cs="仿宋_GB2312"/>
                <w:i w:val="0"/>
                <w:iCs w:val="0"/>
                <w:color w:val="000000"/>
                <w:kern w:val="0"/>
                <w:sz w:val="18"/>
                <w:szCs w:val="18"/>
                <w:u w:val="none"/>
                <w:lang w:val="en-US" w:eastAsia="zh-CN" w:bidi="ar"/>
              </w:rPr>
              <w:t>万元</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lang w:val="en-US"/>
              </w:rPr>
            </w:pPr>
            <w:r>
              <w:rPr>
                <w:rFonts w:hint="default" w:ascii="仿宋_GB2312" w:hAnsi="宋体" w:eastAsia="仿宋_GB2312" w:cs="仿宋_GB2312"/>
                <w:i w:val="0"/>
                <w:iCs w:val="0"/>
                <w:color w:val="000000"/>
                <w:kern w:val="0"/>
                <w:sz w:val="18"/>
                <w:szCs w:val="18"/>
                <w:u w:val="none"/>
                <w:lang w:val="en-US" w:eastAsia="zh-CN" w:bidi="ar"/>
              </w:rPr>
              <w:t>355.44</w:t>
            </w:r>
            <w:r>
              <w:rPr>
                <w:rFonts w:hint="eastAsia" w:ascii="仿宋_GB2312" w:hAnsi="宋体" w:eastAsia="仿宋_GB2312" w:cs="仿宋_GB2312"/>
                <w:i w:val="0"/>
                <w:iCs w:val="0"/>
                <w:color w:val="000000"/>
                <w:kern w:val="0"/>
                <w:sz w:val="18"/>
                <w:szCs w:val="18"/>
                <w:u w:val="none"/>
                <w:lang w:val="en-US" w:eastAsia="zh-CN" w:bidi="ar"/>
              </w:rPr>
              <w:t>万元</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资金全部投入得10分，每减少10万扣1分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辖区范围内失业率</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失业率≤5%得10分，每增加1%扣1分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adjustRightInd/>
              <w:snapToGrid/>
              <w:ind w:firstLine="0" w:firstLineChars="0"/>
              <w:rPr>
                <w:rFonts w:hint="default" w:ascii="仿宋_GB2312" w:hAnsi="宋体" w:eastAsia="仿宋_GB2312" w:cs="仿宋_GB2312"/>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生物多样性丧失</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生物多样性丧失≤1%得10分，每增加1%扣5分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2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945"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总分</w:t>
            </w:r>
          </w:p>
        </w:tc>
        <w:tc>
          <w:tcPr>
            <w:tcW w:w="886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rPr>
          <w:rFonts w:asciiTheme="minorEastAsia" w:hAnsiTheme="minorEastAsia" w:eastAsiaTheme="minorEastAsia"/>
          <w:kern w:val="0"/>
          <w:sz w:val="24"/>
        </w:rPr>
      </w:pP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asciiTheme="minorEastAsia" w:hAnsiTheme="minorEastAsia" w:eastAsiaTheme="minorEastAsia"/>
          <w:kern w:val="0"/>
          <w:sz w:val="24"/>
        </w:rPr>
      </w:pPr>
    </w:p>
    <w:p>
      <w:pPr>
        <w:keepNext w:val="0"/>
        <w:keepLines w:val="0"/>
        <w:pageBreakBefore w:val="0"/>
        <w:kinsoku/>
        <w:wordWrap/>
        <w:overflowPunct/>
        <w:topLinePunct w:val="0"/>
        <w:autoSpaceDE/>
        <w:autoSpaceDN/>
        <w:bidi w:val="0"/>
        <w:adjustRightInd/>
        <w:snapToGrid/>
        <w:spacing w:line="320" w:lineRule="exact"/>
        <w:ind w:right="600" w:firstLine="0" w:firstLineChars="0"/>
        <w:rPr>
          <w:rFonts w:asciiTheme="minorEastAsia" w:hAnsiTheme="minorEastAsia" w:eastAsiaTheme="minorEastAsia"/>
          <w:kern w:val="0"/>
          <w:sz w:val="18"/>
          <w:szCs w:val="18"/>
        </w:rPr>
      </w:pPr>
    </w:p>
    <w:sectPr>
      <w:headerReference r:id="rId3" w:type="default"/>
      <w:footerReference r:id="rId4" w:type="default"/>
      <w:pgSz w:w="11906" w:h="16838"/>
      <w:pgMar w:top="1440" w:right="1046" w:bottom="1440" w:left="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945" cy="3022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8pt;width:5.35pt;mso-position-horizontal:center;mso-position-horizontal-relative:margin;mso-wrap-style:none;z-index:251659264;mso-width-relative:page;mso-height-relative:page;" filled="f" stroked="f" coordsize="21600,21600"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hcxM40AAAAAMBAAAPAAAAAAAAAAEAIAAAACIAAABkcnMvZG93bnJl&#10;di54bWxQSwECFAAUAAAACACHTuJAvnS8UswBAACW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ODJiZmFmODczNDQ4MjE3NDRiNDY5MTllNjM1YzgifQ=="/>
  </w:docVars>
  <w:rsids>
    <w:rsidRoot w:val="4C8E238A"/>
    <w:rsid w:val="00002BF0"/>
    <w:rsid w:val="00005D32"/>
    <w:rsid w:val="00041432"/>
    <w:rsid w:val="00067013"/>
    <w:rsid w:val="0008239E"/>
    <w:rsid w:val="00091F8D"/>
    <w:rsid w:val="000A455A"/>
    <w:rsid w:val="000B530B"/>
    <w:rsid w:val="000F23D2"/>
    <w:rsid w:val="000F686E"/>
    <w:rsid w:val="00102D71"/>
    <w:rsid w:val="0010703C"/>
    <w:rsid w:val="00110A32"/>
    <w:rsid w:val="001113A0"/>
    <w:rsid w:val="00111D7B"/>
    <w:rsid w:val="00116877"/>
    <w:rsid w:val="00143F06"/>
    <w:rsid w:val="00146BF8"/>
    <w:rsid w:val="00150A13"/>
    <w:rsid w:val="00151CE8"/>
    <w:rsid w:val="001604F8"/>
    <w:rsid w:val="00162B94"/>
    <w:rsid w:val="00175914"/>
    <w:rsid w:val="00193318"/>
    <w:rsid w:val="001A3183"/>
    <w:rsid w:val="001B1B47"/>
    <w:rsid w:val="001B3444"/>
    <w:rsid w:val="001B55E9"/>
    <w:rsid w:val="001C6DA2"/>
    <w:rsid w:val="001E4DCE"/>
    <w:rsid w:val="001E7B32"/>
    <w:rsid w:val="001F2C76"/>
    <w:rsid w:val="001F3ADA"/>
    <w:rsid w:val="001F5CFE"/>
    <w:rsid w:val="001F7F14"/>
    <w:rsid w:val="00214E6B"/>
    <w:rsid w:val="00216648"/>
    <w:rsid w:val="00223BF6"/>
    <w:rsid w:val="002300D5"/>
    <w:rsid w:val="00262F8E"/>
    <w:rsid w:val="002719F9"/>
    <w:rsid w:val="00295E56"/>
    <w:rsid w:val="002A2837"/>
    <w:rsid w:val="002A2AD9"/>
    <w:rsid w:val="002B16DC"/>
    <w:rsid w:val="002B659B"/>
    <w:rsid w:val="002C1BEF"/>
    <w:rsid w:val="002C6FDA"/>
    <w:rsid w:val="002F0B26"/>
    <w:rsid w:val="002F4EC7"/>
    <w:rsid w:val="00331EAE"/>
    <w:rsid w:val="003432E8"/>
    <w:rsid w:val="0034492E"/>
    <w:rsid w:val="003547DF"/>
    <w:rsid w:val="00356CC6"/>
    <w:rsid w:val="00361030"/>
    <w:rsid w:val="00363A80"/>
    <w:rsid w:val="00373F17"/>
    <w:rsid w:val="003A62AF"/>
    <w:rsid w:val="003B43B0"/>
    <w:rsid w:val="003D4F65"/>
    <w:rsid w:val="003E1D36"/>
    <w:rsid w:val="003E7E3F"/>
    <w:rsid w:val="00406781"/>
    <w:rsid w:val="00413491"/>
    <w:rsid w:val="0041550C"/>
    <w:rsid w:val="00431A35"/>
    <w:rsid w:val="004471E3"/>
    <w:rsid w:val="00450ADA"/>
    <w:rsid w:val="004638DE"/>
    <w:rsid w:val="00474B31"/>
    <w:rsid w:val="00475CE4"/>
    <w:rsid w:val="00485788"/>
    <w:rsid w:val="004A32AB"/>
    <w:rsid w:val="004A64FC"/>
    <w:rsid w:val="004A7710"/>
    <w:rsid w:val="004B0DEB"/>
    <w:rsid w:val="004B2195"/>
    <w:rsid w:val="004D6013"/>
    <w:rsid w:val="004F11D4"/>
    <w:rsid w:val="004F26CD"/>
    <w:rsid w:val="004F4BAC"/>
    <w:rsid w:val="005044DA"/>
    <w:rsid w:val="005075E7"/>
    <w:rsid w:val="005104D0"/>
    <w:rsid w:val="005316B2"/>
    <w:rsid w:val="00571DB8"/>
    <w:rsid w:val="0057240B"/>
    <w:rsid w:val="00574797"/>
    <w:rsid w:val="005908E4"/>
    <w:rsid w:val="005A0C96"/>
    <w:rsid w:val="005C7338"/>
    <w:rsid w:val="005E3501"/>
    <w:rsid w:val="005E4056"/>
    <w:rsid w:val="005E6139"/>
    <w:rsid w:val="005F5AD9"/>
    <w:rsid w:val="00603294"/>
    <w:rsid w:val="00617A1F"/>
    <w:rsid w:val="00621646"/>
    <w:rsid w:val="00622F5C"/>
    <w:rsid w:val="00634208"/>
    <w:rsid w:val="006505FC"/>
    <w:rsid w:val="00655476"/>
    <w:rsid w:val="00655CC1"/>
    <w:rsid w:val="006705EE"/>
    <w:rsid w:val="006842FC"/>
    <w:rsid w:val="0068546F"/>
    <w:rsid w:val="00687717"/>
    <w:rsid w:val="006926E3"/>
    <w:rsid w:val="0069763C"/>
    <w:rsid w:val="006D597E"/>
    <w:rsid w:val="006E4026"/>
    <w:rsid w:val="006E6CD8"/>
    <w:rsid w:val="006F60AB"/>
    <w:rsid w:val="006F752B"/>
    <w:rsid w:val="00705B0C"/>
    <w:rsid w:val="007062D6"/>
    <w:rsid w:val="00715EA1"/>
    <w:rsid w:val="00735573"/>
    <w:rsid w:val="00752F69"/>
    <w:rsid w:val="00754C22"/>
    <w:rsid w:val="007645FA"/>
    <w:rsid w:val="00774AC4"/>
    <w:rsid w:val="00782620"/>
    <w:rsid w:val="00790589"/>
    <w:rsid w:val="007A486D"/>
    <w:rsid w:val="007C1940"/>
    <w:rsid w:val="007D0D9D"/>
    <w:rsid w:val="007D608E"/>
    <w:rsid w:val="007E0540"/>
    <w:rsid w:val="007E208F"/>
    <w:rsid w:val="00801F85"/>
    <w:rsid w:val="008137FD"/>
    <w:rsid w:val="00821E85"/>
    <w:rsid w:val="00823BBE"/>
    <w:rsid w:val="008324A8"/>
    <w:rsid w:val="0083347B"/>
    <w:rsid w:val="00851A19"/>
    <w:rsid w:val="008762D9"/>
    <w:rsid w:val="00877CEC"/>
    <w:rsid w:val="008A3B87"/>
    <w:rsid w:val="008B1453"/>
    <w:rsid w:val="008B1EA8"/>
    <w:rsid w:val="008D48B9"/>
    <w:rsid w:val="008D4BFF"/>
    <w:rsid w:val="008F0CB3"/>
    <w:rsid w:val="008F26B2"/>
    <w:rsid w:val="00901FFD"/>
    <w:rsid w:val="0090334C"/>
    <w:rsid w:val="00910F3E"/>
    <w:rsid w:val="0091497A"/>
    <w:rsid w:val="00914B6E"/>
    <w:rsid w:val="00934A3B"/>
    <w:rsid w:val="00953FFF"/>
    <w:rsid w:val="009654F2"/>
    <w:rsid w:val="009667B7"/>
    <w:rsid w:val="00976F30"/>
    <w:rsid w:val="009833CD"/>
    <w:rsid w:val="00992EB6"/>
    <w:rsid w:val="009A63CF"/>
    <w:rsid w:val="009D24B4"/>
    <w:rsid w:val="009D298D"/>
    <w:rsid w:val="009E24D2"/>
    <w:rsid w:val="009E37FF"/>
    <w:rsid w:val="00A0067D"/>
    <w:rsid w:val="00A01751"/>
    <w:rsid w:val="00A233F0"/>
    <w:rsid w:val="00A27D6A"/>
    <w:rsid w:val="00A317D7"/>
    <w:rsid w:val="00A43D66"/>
    <w:rsid w:val="00A46DAD"/>
    <w:rsid w:val="00A5116D"/>
    <w:rsid w:val="00A55AF2"/>
    <w:rsid w:val="00A643B7"/>
    <w:rsid w:val="00A84486"/>
    <w:rsid w:val="00A87886"/>
    <w:rsid w:val="00A95DC5"/>
    <w:rsid w:val="00A9713E"/>
    <w:rsid w:val="00AA7571"/>
    <w:rsid w:val="00AC2C53"/>
    <w:rsid w:val="00AD2E71"/>
    <w:rsid w:val="00B05075"/>
    <w:rsid w:val="00B35E21"/>
    <w:rsid w:val="00B37E39"/>
    <w:rsid w:val="00B40771"/>
    <w:rsid w:val="00B812CC"/>
    <w:rsid w:val="00B97678"/>
    <w:rsid w:val="00BA560F"/>
    <w:rsid w:val="00BA5C0E"/>
    <w:rsid w:val="00BC5F8F"/>
    <w:rsid w:val="00BC7877"/>
    <w:rsid w:val="00BD6209"/>
    <w:rsid w:val="00C27BA1"/>
    <w:rsid w:val="00C6437E"/>
    <w:rsid w:val="00C84DA2"/>
    <w:rsid w:val="00CA24F3"/>
    <w:rsid w:val="00CA592D"/>
    <w:rsid w:val="00CB4A97"/>
    <w:rsid w:val="00CB4BF9"/>
    <w:rsid w:val="00CC7C9A"/>
    <w:rsid w:val="00CE305D"/>
    <w:rsid w:val="00CE4B2C"/>
    <w:rsid w:val="00CE7101"/>
    <w:rsid w:val="00D10DC0"/>
    <w:rsid w:val="00D22A90"/>
    <w:rsid w:val="00D2327A"/>
    <w:rsid w:val="00D23444"/>
    <w:rsid w:val="00D30C96"/>
    <w:rsid w:val="00D3533D"/>
    <w:rsid w:val="00D52D06"/>
    <w:rsid w:val="00D67CDD"/>
    <w:rsid w:val="00D872F5"/>
    <w:rsid w:val="00D94CBC"/>
    <w:rsid w:val="00DC0AF4"/>
    <w:rsid w:val="00DC1276"/>
    <w:rsid w:val="00DD00A0"/>
    <w:rsid w:val="00DE451A"/>
    <w:rsid w:val="00DE54EE"/>
    <w:rsid w:val="00DF256D"/>
    <w:rsid w:val="00E07390"/>
    <w:rsid w:val="00E1649B"/>
    <w:rsid w:val="00E225EC"/>
    <w:rsid w:val="00E2474F"/>
    <w:rsid w:val="00E300AB"/>
    <w:rsid w:val="00E34E4A"/>
    <w:rsid w:val="00E52DB5"/>
    <w:rsid w:val="00E55B69"/>
    <w:rsid w:val="00E571D2"/>
    <w:rsid w:val="00E57219"/>
    <w:rsid w:val="00E651F7"/>
    <w:rsid w:val="00E71E19"/>
    <w:rsid w:val="00E73CFD"/>
    <w:rsid w:val="00E7692B"/>
    <w:rsid w:val="00E84648"/>
    <w:rsid w:val="00E84AB3"/>
    <w:rsid w:val="00E923D2"/>
    <w:rsid w:val="00EA0633"/>
    <w:rsid w:val="00EB53F8"/>
    <w:rsid w:val="00EB6DCF"/>
    <w:rsid w:val="00EC17FE"/>
    <w:rsid w:val="00EC6889"/>
    <w:rsid w:val="00EE2662"/>
    <w:rsid w:val="00EF0589"/>
    <w:rsid w:val="00EF7097"/>
    <w:rsid w:val="00F009DE"/>
    <w:rsid w:val="00F016D9"/>
    <w:rsid w:val="00F300CE"/>
    <w:rsid w:val="00F466BA"/>
    <w:rsid w:val="00F529A1"/>
    <w:rsid w:val="00FB44EC"/>
    <w:rsid w:val="00FC3E32"/>
    <w:rsid w:val="00FD5408"/>
    <w:rsid w:val="00FE2B74"/>
    <w:rsid w:val="00FE3C6F"/>
    <w:rsid w:val="00FE64D2"/>
    <w:rsid w:val="00FE7E93"/>
    <w:rsid w:val="00FF33FE"/>
    <w:rsid w:val="00FF363C"/>
    <w:rsid w:val="01061FD9"/>
    <w:rsid w:val="04047A03"/>
    <w:rsid w:val="0554212F"/>
    <w:rsid w:val="07286651"/>
    <w:rsid w:val="0A5524CB"/>
    <w:rsid w:val="0FBD0792"/>
    <w:rsid w:val="10F23E3C"/>
    <w:rsid w:val="11395920"/>
    <w:rsid w:val="11C13F85"/>
    <w:rsid w:val="13380996"/>
    <w:rsid w:val="135A3F7F"/>
    <w:rsid w:val="14785688"/>
    <w:rsid w:val="155210C9"/>
    <w:rsid w:val="15876A91"/>
    <w:rsid w:val="16D51F13"/>
    <w:rsid w:val="1BA91081"/>
    <w:rsid w:val="209B33AF"/>
    <w:rsid w:val="20C212F9"/>
    <w:rsid w:val="22DC17C8"/>
    <w:rsid w:val="24342504"/>
    <w:rsid w:val="24D65713"/>
    <w:rsid w:val="279E2358"/>
    <w:rsid w:val="2ACC2F90"/>
    <w:rsid w:val="2E0A1BBA"/>
    <w:rsid w:val="2E685700"/>
    <w:rsid w:val="2E9673F4"/>
    <w:rsid w:val="303B4EA9"/>
    <w:rsid w:val="30AA3266"/>
    <w:rsid w:val="31895227"/>
    <w:rsid w:val="31915AE2"/>
    <w:rsid w:val="321D37DE"/>
    <w:rsid w:val="32CF02C0"/>
    <w:rsid w:val="368356D4"/>
    <w:rsid w:val="37524A4E"/>
    <w:rsid w:val="39E8110F"/>
    <w:rsid w:val="3A495D8D"/>
    <w:rsid w:val="3B512F45"/>
    <w:rsid w:val="3C0251D0"/>
    <w:rsid w:val="3DCF4ED5"/>
    <w:rsid w:val="3EBF518F"/>
    <w:rsid w:val="3F667D3E"/>
    <w:rsid w:val="3F856790"/>
    <w:rsid w:val="40FF54E6"/>
    <w:rsid w:val="41BA391B"/>
    <w:rsid w:val="422D324A"/>
    <w:rsid w:val="42641B11"/>
    <w:rsid w:val="4345216C"/>
    <w:rsid w:val="43B176A7"/>
    <w:rsid w:val="474C534F"/>
    <w:rsid w:val="4A1C0576"/>
    <w:rsid w:val="4A57303D"/>
    <w:rsid w:val="4B4B1402"/>
    <w:rsid w:val="4B623249"/>
    <w:rsid w:val="4C6C442B"/>
    <w:rsid w:val="4C8E238A"/>
    <w:rsid w:val="505B1DF3"/>
    <w:rsid w:val="50D8689B"/>
    <w:rsid w:val="51914A1F"/>
    <w:rsid w:val="552D73FD"/>
    <w:rsid w:val="564C62D2"/>
    <w:rsid w:val="571A21CA"/>
    <w:rsid w:val="57731D04"/>
    <w:rsid w:val="5A8D0004"/>
    <w:rsid w:val="5DD62179"/>
    <w:rsid w:val="5DF55E46"/>
    <w:rsid w:val="5E623A66"/>
    <w:rsid w:val="5F2F5482"/>
    <w:rsid w:val="618040F1"/>
    <w:rsid w:val="61D864BF"/>
    <w:rsid w:val="63FA2E95"/>
    <w:rsid w:val="65FA32EC"/>
    <w:rsid w:val="68E37BFE"/>
    <w:rsid w:val="6A037E56"/>
    <w:rsid w:val="6A0E015E"/>
    <w:rsid w:val="6A1F26F7"/>
    <w:rsid w:val="6A306848"/>
    <w:rsid w:val="6AF232CB"/>
    <w:rsid w:val="6AFD6547"/>
    <w:rsid w:val="6B8E3FFD"/>
    <w:rsid w:val="6CA3638B"/>
    <w:rsid w:val="6F7C7950"/>
    <w:rsid w:val="719A5420"/>
    <w:rsid w:val="72394132"/>
    <w:rsid w:val="726963EA"/>
    <w:rsid w:val="731617E5"/>
    <w:rsid w:val="73A316E4"/>
    <w:rsid w:val="73D00B83"/>
    <w:rsid w:val="7401471D"/>
    <w:rsid w:val="7685786B"/>
    <w:rsid w:val="771606FD"/>
    <w:rsid w:val="782A0086"/>
    <w:rsid w:val="78F12457"/>
    <w:rsid w:val="7979537F"/>
    <w:rsid w:val="7AFF23F9"/>
    <w:rsid w:val="7B2F1FE5"/>
    <w:rsid w:val="7DF64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adjustRightInd w:val="0"/>
      <w:textAlignment w:val="baseline"/>
    </w:pPr>
    <w:rPr>
      <w:rFonts w:ascii="宋体" w:hAnsi="Courier New"/>
      <w:sz w:val="28"/>
      <w:szCs w:val="22"/>
    </w:rPr>
  </w:style>
  <w:style w:type="paragraph" w:styleId="3">
    <w:name w:val="Date"/>
    <w:basedOn w:val="1"/>
    <w:next w:val="1"/>
    <w:qFormat/>
    <w:uiPriority w:val="0"/>
    <w:pPr>
      <w:ind w:left="100" w:leftChars="2500"/>
    </w:pPr>
  </w:style>
  <w:style w:type="paragraph" w:styleId="4">
    <w:name w:val="Balloon Text"/>
    <w:basedOn w:val="1"/>
    <w:link w:val="11"/>
    <w:unhideWhenUsed/>
    <w:qFormat/>
    <w:uiPriority w:val="99"/>
    <w:rPr>
      <w:sz w:val="18"/>
      <w:szCs w:val="18"/>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9">
    <w:name w:val="Hyperlink"/>
    <w:unhideWhenUsed/>
    <w:qFormat/>
    <w:uiPriority w:val="99"/>
    <w:rPr>
      <w:color w:val="0000FF"/>
      <w:u w:val="single"/>
    </w:rPr>
  </w:style>
  <w:style w:type="character" w:customStyle="1" w:styleId="10">
    <w:name w:val="纯文本 Char"/>
    <w:link w:val="2"/>
    <w:qFormat/>
    <w:locked/>
    <w:uiPriority w:val="0"/>
    <w:rPr>
      <w:rFonts w:ascii="宋体" w:hAnsi="Courier New" w:eastAsia="宋体"/>
      <w:kern w:val="2"/>
      <w:sz w:val="28"/>
      <w:szCs w:val="22"/>
      <w:lang w:val="en-US" w:eastAsia="zh-CN" w:bidi="ar-SA"/>
    </w:rPr>
  </w:style>
  <w:style w:type="character" w:customStyle="1" w:styleId="11">
    <w:name w:val="批注框文本 Char"/>
    <w:link w:val="4"/>
    <w:semiHidden/>
    <w:qFormat/>
    <w:uiPriority w:val="99"/>
    <w:rPr>
      <w:kern w:val="2"/>
      <w:sz w:val="18"/>
      <w:szCs w:val="18"/>
    </w:rPr>
  </w:style>
  <w:style w:type="character" w:customStyle="1" w:styleId="12">
    <w:name w:val="NormalCharacter New New"/>
    <w:qFormat/>
    <w:uiPriority w:val="0"/>
  </w:style>
  <w:style w:type="paragraph" w:customStyle="1" w:styleId="13">
    <w:name w:val="列出段落1"/>
    <w:basedOn w:val="1"/>
    <w:qFormat/>
    <w:uiPriority w:val="99"/>
    <w:pPr>
      <w:ind w:firstLine="420" w:firstLineChars="200"/>
    </w:pPr>
    <w:rPr>
      <w:szCs w:val="22"/>
    </w:rPr>
  </w:style>
  <w:style w:type="paragraph" w:customStyle="1" w:styleId="14">
    <w:name w:val="reader-word-layer reader-word-s3-13"/>
    <w:basedOn w:val="1"/>
    <w:qFormat/>
    <w:uiPriority w:val="0"/>
    <w:pPr>
      <w:widowControl/>
      <w:spacing w:before="100" w:beforeAutospacing="1" w:after="100" w:afterAutospacing="1"/>
      <w:jc w:val="left"/>
    </w:pPr>
    <w:rPr>
      <w:rFonts w:ascii="宋体" w:hAnsi="宋体" w:cs="宋体"/>
      <w:kern w:val="0"/>
      <w:sz w:val="24"/>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C52F73-0E8D-4C45-89DA-185A68C349CF}">
  <ds:schemaRefs/>
</ds:datastoreItem>
</file>

<file path=docProps/app.xml><?xml version="1.0" encoding="utf-8"?>
<Properties xmlns="http://schemas.openxmlformats.org/officeDocument/2006/extended-properties" xmlns:vt="http://schemas.openxmlformats.org/officeDocument/2006/docPropsVTypes">
  <Template>Normal</Template>
  <Pages>11</Pages>
  <Words>4805</Words>
  <Characters>5088</Characters>
  <Lines>30</Lines>
  <Paragraphs>34</Paragraphs>
  <TotalTime>2643</TotalTime>
  <ScaleCrop>false</ScaleCrop>
  <LinksUpToDate>false</LinksUpToDate>
  <CharactersWithSpaces>5406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2024-03-26T02:17:00Z</dcterms:created>
  <dc:creator>k410-5</dc:creator>
  <cp:lastModifiedBy>Administrator</cp:lastModifiedBy>
  <cp:lastPrinted>2025-04-17T08:01:00Z</cp:lastPrinted>
  <dcterms:modified xsi:type="dcterms:W3CDTF">2025-04-18T08:10:16Z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B7C1507A12684270946DFF2BF8BDCF6E_13</vt:lpwstr>
  </property>
  <property fmtid="{D5CDD505-2E9C-101B-9397-08002B2CF9AE}" pid="4" name="KSOTemplateDocerSaveRecord">
    <vt:lpwstr>eyJoZGlkIjoiNGFlODJiZmFmODczNDQ4MjE3NDRiNDY5MTllNjM1YzgiLCJ1c2VySWQiOiIzNjg2NTI1NTYifQ==</vt:lpwstr>
  </property>
</Properties>
</file>