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3</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25</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2</w:t>
            </w:r>
            <w:r>
              <w:rPr>
                <w:rFonts w:eastAsia="仿宋_GB2312"/>
                <w:b/>
                <w:bCs/>
                <w:color w:val="auto"/>
                <w:kern w:val="0"/>
                <w:szCs w:val="21"/>
              </w:rPr>
              <w:t>年决算数</w:t>
            </w:r>
          </w:p>
        </w:tc>
        <w:tc>
          <w:tcPr>
            <w:tcW w:w="2240" w:type="dxa"/>
            <w:gridSpan w:val="2"/>
            <w:noWrap w:val="0"/>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3</w:t>
            </w:r>
            <w:r>
              <w:rPr>
                <w:rFonts w:eastAsia="仿宋_GB2312"/>
                <w:b/>
                <w:bCs/>
                <w:color w:val="auto"/>
                <w:kern w:val="0"/>
                <w:szCs w:val="21"/>
              </w:rPr>
              <w:t>年预算数</w:t>
            </w:r>
          </w:p>
        </w:tc>
        <w:tc>
          <w:tcPr>
            <w:tcW w:w="1832" w:type="dxa"/>
            <w:gridSpan w:val="2"/>
            <w:noWrap w:val="0"/>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3</w:t>
            </w:r>
            <w:r>
              <w:rPr>
                <w:rFonts w:eastAsia="仿宋_GB2312"/>
                <w:b/>
                <w:bCs/>
                <w:color w:val="auto"/>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13.31</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14.6</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9.75</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2.76</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2.8</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10.55</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11.8</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5.5</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2968.45</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2968.45</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47.2</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47.2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w:t>
            </w:r>
            <w:r>
              <w:rPr>
                <w:rFonts w:hint="eastAsia" w:eastAsia="仿宋_GB2312"/>
                <w:kern w:val="0"/>
                <w:szCs w:val="21"/>
              </w:rPr>
              <w:t>体校参赛活动费</w:t>
            </w:r>
            <w:r>
              <w:rPr>
                <w:rFonts w:hint="eastAsia" w:eastAsia="仿宋_GB2312"/>
                <w:kern w:val="0"/>
                <w:szCs w:val="21"/>
                <w:lang w:val="en-US" w:eastAsia="zh-CN"/>
              </w:rPr>
              <w:t>1万元；2.体校生活补助30.8万元；3.非遗产传承人适当补助12万元</w:t>
            </w:r>
          </w:p>
        </w:tc>
        <w:tc>
          <w:tcPr>
            <w:tcW w:w="1832" w:type="dxa"/>
            <w:gridSpan w:val="2"/>
            <w:noWrap w:val="0"/>
            <w:vAlign w:val="center"/>
          </w:tcPr>
          <w:p>
            <w:pPr>
              <w:widowControl/>
              <w:jc w:val="both"/>
              <w:rPr>
                <w:rFonts w:eastAsia="仿宋_GB2312"/>
                <w:kern w:val="0"/>
                <w:szCs w:val="21"/>
              </w:rPr>
            </w:pPr>
            <w:r>
              <w:rPr>
                <w:rFonts w:hint="eastAsia" w:eastAsia="仿宋_GB2312"/>
                <w:kern w:val="0"/>
                <w:szCs w:val="21"/>
                <w:lang w:val="en-US" w:eastAsia="zh-CN"/>
              </w:rPr>
              <w:t>1.</w:t>
            </w:r>
            <w:r>
              <w:rPr>
                <w:rFonts w:hint="eastAsia" w:eastAsia="仿宋_GB2312"/>
                <w:kern w:val="0"/>
                <w:szCs w:val="21"/>
              </w:rPr>
              <w:t>体校参赛活动费</w:t>
            </w:r>
            <w:r>
              <w:rPr>
                <w:rFonts w:hint="eastAsia" w:eastAsia="仿宋_GB2312"/>
                <w:kern w:val="0"/>
                <w:szCs w:val="21"/>
                <w:lang w:val="en-US" w:eastAsia="zh-CN"/>
              </w:rPr>
              <w:t>1万元；2.体校生活补助30.8万元；3.非遗产传承人适当补助12万元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2877.45万元</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2877.45万元</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105.28</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20.4</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53.92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16.9</w:t>
            </w: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5.8</w:t>
            </w: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6.37</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15.7</w:t>
            </w: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4.49</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354" w:type="dxa"/>
            <w:vMerge w:val="restart"/>
            <w:noWrap w:val="0"/>
            <w:vAlign w:val="center"/>
          </w:tcPr>
          <w:p>
            <w:pPr>
              <w:widowControl/>
              <w:jc w:val="center"/>
              <w:rPr>
                <w:rFonts w:hint="eastAsia"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eastAsia="仿宋_GB2312"/>
                <w:color w:val="auto"/>
                <w:kern w:val="0"/>
                <w:szCs w:val="21"/>
              </w:rPr>
              <w:t>20</w:t>
            </w:r>
            <w:r>
              <w:rPr>
                <w:rFonts w:hint="eastAsia" w:eastAsia="仿宋_GB2312"/>
                <w:color w:val="auto"/>
                <w:kern w:val="0"/>
                <w:szCs w:val="21"/>
              </w:rPr>
              <w:t>2</w:t>
            </w:r>
            <w:r>
              <w:rPr>
                <w:rFonts w:hint="eastAsia" w:eastAsia="仿宋_GB2312"/>
                <w:color w:val="auto"/>
                <w:kern w:val="0"/>
                <w:szCs w:val="21"/>
                <w:lang w:val="en-US" w:eastAsia="zh-CN"/>
              </w:rPr>
              <w:t>3</w:t>
            </w:r>
            <w:r>
              <w:rPr>
                <w:rFonts w:eastAsia="仿宋_GB2312"/>
                <w:color w:val="auto"/>
                <w:kern w:val="0"/>
                <w:szCs w:val="21"/>
              </w:rPr>
              <w:t>年完工项</w:t>
            </w:r>
            <w:r>
              <w:rPr>
                <w:rFonts w:eastAsia="仿宋_GB2312"/>
                <w:kern w:val="0"/>
                <w:szCs w:val="21"/>
              </w:rPr>
              <w:t>目）</w:t>
            </w:r>
          </w:p>
        </w:tc>
        <w:tc>
          <w:tcPr>
            <w:tcW w:w="1189" w:type="dxa"/>
            <w:noWrap w:val="0"/>
            <w:vAlign w:val="center"/>
          </w:tcPr>
          <w:p>
            <w:pPr>
              <w:widowControl/>
              <w:spacing w:line="240" w:lineRule="exact"/>
              <w:jc w:val="center"/>
              <w:rPr>
                <w:rFonts w:hint="eastAsia"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eastAsia="仿宋_GB2312"/>
                <w:kern w:val="0"/>
                <w:szCs w:val="21"/>
              </w:rPr>
            </w:pPr>
            <w:r>
              <w:rPr>
                <w:rFonts w:eastAsia="仿宋_GB2312"/>
                <w:kern w:val="0"/>
                <w:szCs w:val="21"/>
              </w:rPr>
              <w:t>　</w:t>
            </w:r>
          </w:p>
        </w:tc>
        <w:tc>
          <w:tcPr>
            <w:tcW w:w="849" w:type="dxa"/>
            <w:noWrap w:val="0"/>
            <w:vAlign w:val="center"/>
          </w:tcPr>
          <w:p>
            <w:pPr>
              <w:widowControl/>
              <w:jc w:val="left"/>
              <w:rPr>
                <w:rFonts w:eastAsia="仿宋_GB2312"/>
                <w:kern w:val="0"/>
                <w:szCs w:val="21"/>
              </w:rPr>
            </w:pPr>
            <w:r>
              <w:rPr>
                <w:rFonts w:eastAsia="仿宋_GB2312"/>
                <w:kern w:val="0"/>
                <w:szCs w:val="21"/>
              </w:rPr>
              <w:t>　</w:t>
            </w:r>
          </w:p>
        </w:tc>
        <w:tc>
          <w:tcPr>
            <w:tcW w:w="1129" w:type="dxa"/>
            <w:noWrap w:val="0"/>
            <w:vAlign w:val="center"/>
          </w:tcPr>
          <w:p>
            <w:pPr>
              <w:widowControl/>
              <w:jc w:val="left"/>
              <w:rPr>
                <w:rFonts w:eastAsia="仿宋_GB2312"/>
                <w:kern w:val="0"/>
                <w:szCs w:val="21"/>
              </w:rPr>
            </w:pPr>
            <w:r>
              <w:rPr>
                <w:rFonts w:eastAsia="仿宋_GB2312"/>
                <w:kern w:val="0"/>
                <w:szCs w:val="21"/>
              </w:rPr>
              <w:t>　</w:t>
            </w:r>
          </w:p>
        </w:tc>
        <w:tc>
          <w:tcPr>
            <w:tcW w:w="1111" w:type="dxa"/>
            <w:noWrap w:val="0"/>
            <w:vAlign w:val="center"/>
          </w:tcPr>
          <w:p>
            <w:pPr>
              <w:widowControl/>
              <w:jc w:val="left"/>
              <w:rPr>
                <w:rFonts w:eastAsia="仿宋_GB2312"/>
                <w:kern w:val="0"/>
                <w:szCs w:val="21"/>
              </w:rPr>
            </w:pPr>
            <w:r>
              <w:rPr>
                <w:rFonts w:eastAsia="仿宋_GB2312"/>
                <w:kern w:val="0"/>
                <w:szCs w:val="21"/>
              </w:rPr>
              <w:t>　</w:t>
            </w:r>
          </w:p>
        </w:tc>
        <w:tc>
          <w:tcPr>
            <w:tcW w:w="969" w:type="dxa"/>
            <w:noWrap w:val="0"/>
            <w:vAlign w:val="center"/>
          </w:tcPr>
          <w:p>
            <w:pPr>
              <w:widowControl/>
              <w:jc w:val="left"/>
              <w:rPr>
                <w:rFonts w:eastAsia="仿宋_GB2312"/>
                <w:kern w:val="0"/>
                <w:szCs w:val="21"/>
              </w:rPr>
            </w:pPr>
            <w:r>
              <w:rPr>
                <w:rFonts w:eastAsia="仿宋_GB2312"/>
                <w:kern w:val="0"/>
                <w:szCs w:val="21"/>
              </w:rPr>
              <w:t>　</w:t>
            </w:r>
          </w:p>
        </w:tc>
        <w:tc>
          <w:tcPr>
            <w:tcW w:w="863" w:type="dxa"/>
            <w:noWrap w:val="0"/>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eastAsia="仿宋_GB2312"/>
                <w:kern w:val="0"/>
                <w:szCs w:val="21"/>
              </w:rPr>
            </w:pPr>
            <w:r>
              <w:rPr>
                <w:rFonts w:hint="eastAsia" w:eastAsia="仿宋_GB2312"/>
                <w:kern w:val="0"/>
                <w:szCs w:val="21"/>
                <w:lang w:val="en-US" w:eastAsia="zh-CN"/>
              </w:rPr>
              <w:t>完善规章制度，加强内部控制。</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rPr>
      </w:pPr>
      <w:r>
        <w:rPr>
          <w:rFonts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江永县文化旅游广电体育局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898" w:type="dxa"/>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309.09</w:t>
            </w:r>
          </w:p>
        </w:tc>
        <w:tc>
          <w:tcPr>
            <w:tcW w:w="1295"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3245.06</w:t>
            </w: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3245.06</w:t>
            </w:r>
          </w:p>
        </w:tc>
        <w:tc>
          <w:tcPr>
            <w:tcW w:w="709" w:type="dxa"/>
            <w:noWrap w:val="0"/>
            <w:vAlign w:val="center"/>
          </w:tcPr>
          <w:p>
            <w:pPr>
              <w:jc w:val="center"/>
              <w:rPr>
                <w:rFonts w:eastAsia="仿宋_GB2312"/>
                <w:szCs w:val="21"/>
              </w:rPr>
            </w:pPr>
            <w:r>
              <w:rPr>
                <w:rFonts w:eastAsia="仿宋_GB2312"/>
                <w:szCs w:val="21"/>
              </w:rPr>
              <w:t>10</w:t>
            </w:r>
          </w:p>
        </w:tc>
        <w:tc>
          <w:tcPr>
            <w:tcW w:w="898" w:type="dxa"/>
            <w:noWrap w:val="0"/>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446" w:type="dxa"/>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309.09</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276.61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2968.45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围绕县委县政府工作大局，</w:t>
            </w:r>
            <w:r>
              <w:rPr>
                <w:rFonts w:hint="eastAsia" w:eastAsia="仿宋_GB2312"/>
                <w:color w:val="000000"/>
                <w:kern w:val="0"/>
                <w:szCs w:val="21"/>
              </w:rPr>
              <w:t>做好文化、旅游、体育和文物等各项工作，提升全县旅游服务水平，提高全民健身素质，</w:t>
            </w:r>
            <w:r>
              <w:rPr>
                <w:rFonts w:hint="eastAsia" w:eastAsia="仿宋_GB2312"/>
                <w:color w:val="000000"/>
                <w:kern w:val="0"/>
                <w:szCs w:val="21"/>
                <w:lang w:val="en-US" w:eastAsia="zh-CN"/>
              </w:rPr>
              <w:t>活化非遗、</w:t>
            </w:r>
            <w:r>
              <w:rPr>
                <w:rFonts w:hint="eastAsia" w:eastAsia="仿宋_GB2312"/>
                <w:color w:val="000000"/>
                <w:kern w:val="0"/>
                <w:szCs w:val="21"/>
              </w:rPr>
              <w:t>文物</w:t>
            </w:r>
            <w:r>
              <w:rPr>
                <w:rFonts w:hint="eastAsia" w:eastAsia="仿宋_GB2312"/>
                <w:color w:val="000000"/>
                <w:kern w:val="0"/>
                <w:szCs w:val="21"/>
                <w:lang w:val="en-US" w:eastAsia="zh-CN"/>
              </w:rPr>
              <w:t>工作</w:t>
            </w:r>
            <w:r>
              <w:rPr>
                <w:rFonts w:hint="eastAsia" w:eastAsia="仿宋_GB2312"/>
                <w:color w:val="000000"/>
                <w:kern w:val="0"/>
                <w:szCs w:val="21"/>
              </w:rPr>
              <w:t>，创新文化工作。</w:t>
            </w:r>
            <w:r>
              <w:rPr>
                <w:rFonts w:hint="eastAsia" w:eastAsia="仿宋_GB2312"/>
                <w:color w:val="000000"/>
                <w:kern w:val="0"/>
                <w:szCs w:val="21"/>
              </w:rPr>
              <w:tab/>
            </w:r>
            <w:r>
              <w:rPr>
                <w:rFonts w:eastAsia="仿宋_GB2312"/>
                <w:color w:val="000000"/>
                <w:kern w:val="0"/>
                <w:szCs w:val="21"/>
              </w:rPr>
              <w:t>　　</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文旅深入融合，旅游工作成效明显；持续推进公共文化服务体系建设，文化惠民水平明显提高；行业执法有力，市场秩序持续稳定向好；推进健康江永，全民健身工作成效显著。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全年开展惠民活动</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≥60场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160余场</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文化活动惠及群众</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≥20万人次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28万人次</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default" w:eastAsia="仿宋_GB2312"/>
                <w:color w:val="000000"/>
                <w:kern w:val="0"/>
                <w:szCs w:val="21"/>
                <w:lang w:val="en-US" w:eastAsia="zh-CN"/>
              </w:rPr>
              <w:t>全年</w:t>
            </w:r>
            <w:r>
              <w:rPr>
                <w:rFonts w:hint="default" w:eastAsia="仿宋_GB2312"/>
                <w:color w:val="000000"/>
                <w:kern w:val="0"/>
                <w:szCs w:val="21"/>
              </w:rPr>
              <w:t>人均接受文化场馆服务次数</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≥2.8</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3.04</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全年接待游客总人数</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≥300万人次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509.2万人次</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成功申报市级非遗保护名录项目</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4个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成功申报省级非遗保护名录项目</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default" w:eastAsia="仿宋_GB2312"/>
                <w:color w:val="000000"/>
                <w:kern w:val="0"/>
                <w:szCs w:val="21"/>
                <w:lang w:val="en-US" w:eastAsia="zh-CN"/>
              </w:rPr>
              <w:t>成功申报市级非遗传承人</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default" w:eastAsia="仿宋_GB2312"/>
                <w:color w:val="000000"/>
                <w:kern w:val="0"/>
                <w:szCs w:val="21"/>
                <w:lang w:val="en-US" w:eastAsia="zh-CN"/>
              </w:rPr>
              <w:t>成功申报</w:t>
            </w:r>
            <w:r>
              <w:rPr>
                <w:rFonts w:hint="eastAsia" w:eastAsia="仿宋_GB2312"/>
                <w:color w:val="000000"/>
                <w:kern w:val="0"/>
                <w:szCs w:val="21"/>
                <w:lang w:val="en-US" w:eastAsia="zh-CN"/>
              </w:rPr>
              <w:t>省</w:t>
            </w:r>
            <w:r>
              <w:rPr>
                <w:rFonts w:hint="default" w:eastAsia="仿宋_GB2312"/>
                <w:color w:val="000000"/>
                <w:kern w:val="0"/>
                <w:szCs w:val="21"/>
                <w:lang w:val="en-US" w:eastAsia="zh-CN"/>
              </w:rPr>
              <w:t>级非遗传承人</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申报</w:t>
            </w:r>
            <w:r>
              <w:rPr>
                <w:rFonts w:hint="default" w:eastAsia="仿宋_GB2312"/>
                <w:color w:val="000000"/>
                <w:kern w:val="0"/>
                <w:szCs w:val="21"/>
                <w:lang w:val="en-US" w:eastAsia="zh-CN"/>
              </w:rPr>
              <w:t>体育后备人才基地</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成功获评</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成功获评国家及省级体育后备人才基地</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工作完成及时率</w:t>
            </w:r>
          </w:p>
        </w:tc>
        <w:tc>
          <w:tcPr>
            <w:tcW w:w="1200"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98%</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w:t>
            </w:r>
          </w:p>
        </w:tc>
        <w:tc>
          <w:tcPr>
            <w:tcW w:w="1446"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文物工程较多，一个工作年度内完成不了</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资金拨付及时率</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90%</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w:t>
            </w:r>
          </w:p>
        </w:tc>
        <w:tc>
          <w:tcPr>
            <w:tcW w:w="1446"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县财政资金困难</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基本支出</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276.61万元</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276.61万元</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val="en-US" w:eastAsia="zh-CN"/>
              </w:rPr>
              <w:t>项目支出</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2968.45万元</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2968.45万元</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全年实现旅游综合收入</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≥40亿元</w:t>
            </w: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50.62亿元</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公共文化服务全覆盖</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 w:val="21"/>
                <w:szCs w:val="21"/>
                <w:lang w:val="en-US" w:eastAsia="zh-CN" w:bidi="ar-SA"/>
              </w:rPr>
              <w:t>全覆盖</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全覆盖</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hAnsi="仿宋_GB2312" w:eastAsia="仿宋_GB2312" w:cs="仿宋_GB2312"/>
                <w:bCs/>
                <w:sz w:val="22"/>
                <w:szCs w:val="22"/>
              </w:rPr>
              <w:t>营造良好的人文生态环境</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良好</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良好</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基本公共文化服务水平提升</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有所提升</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持续提升</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全民文化素质、社会主义核心价值更加深入人心</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有所促进</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大有促进</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群众满意度</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rPr>
          <w:rFonts w:hint="eastAsia" w:ascii="黑体" w:hAnsi="宋体" w:eastAsia="黑体"/>
          <w:kern w:val="0"/>
          <w:sz w:val="32"/>
          <w:szCs w:val="32"/>
        </w:rPr>
      </w:pPr>
      <w:r>
        <w:rPr>
          <w:rFonts w:ascii="仿宋_GB2312"/>
          <w:color w:val="000000"/>
          <w:sz w:val="32"/>
          <w:szCs w:val="32"/>
        </w:rPr>
        <w:br w:type="page"/>
      </w:r>
      <w:r>
        <w:rPr>
          <w:rFonts w:hint="eastAsia" w:ascii="黑体" w:hAnsi="黑体" w:eastAsia="黑体"/>
          <w:kern w:val="0"/>
          <w:sz w:val="32"/>
          <w:szCs w:val="32"/>
        </w:rPr>
        <w:t>附件5</w:t>
      </w:r>
    </w:p>
    <w:p>
      <w:pPr>
        <w:spacing w:line="560" w:lineRule="exact"/>
        <w:jc w:val="center"/>
        <w:rPr>
          <w:rFonts w:hint="eastAsia" w:ascii="Times New Roman" w:hAnsi="Times New Roman"/>
          <w:w w:val="98"/>
          <w:kern w:val="0"/>
          <w:sz w:val="44"/>
          <w:szCs w:val="44"/>
        </w:rPr>
      </w:pPr>
      <w:r>
        <w:rPr>
          <w:rFonts w:hint="eastAsia" w:ascii="方正小标宋_GBK" w:hAnsi="方正小标宋_GBK" w:eastAsia="方正小标宋_GBK"/>
          <w:w w:val="98"/>
          <w:kern w:val="0"/>
          <w:sz w:val="44"/>
          <w:szCs w:val="44"/>
          <w:lang w:val="en-US" w:eastAsia="zh-CN"/>
        </w:rPr>
        <w:t>江永县文旅广体局</w:t>
      </w:r>
      <w:r>
        <w:rPr>
          <w:rFonts w:ascii="方正小标宋_GBK" w:hAnsi="方正小标宋_GBK" w:eastAsia="方正小标宋_GBK"/>
          <w:w w:val="98"/>
          <w:kern w:val="0"/>
          <w:sz w:val="44"/>
          <w:szCs w:val="44"/>
        </w:rPr>
        <w:t>部门整体支出绩效评价表</w:t>
      </w:r>
    </w:p>
    <w:tbl>
      <w:tblPr>
        <w:tblStyle w:val="6"/>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w:t>
            </w:r>
            <w:r>
              <w:rPr>
                <w:rFonts w:eastAsia="仿宋_GB2312"/>
                <w:color w:val="auto"/>
                <w:kern w:val="0"/>
                <w:sz w:val="20"/>
                <w:szCs w:val="20"/>
              </w:rPr>
              <w:t>以20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w:t>
            </w:r>
            <w:r>
              <w:rPr>
                <w:rFonts w:eastAsia="仿宋_GB2312"/>
                <w:color w:val="auto"/>
                <w:kern w:val="0"/>
                <w:sz w:val="20"/>
                <w:szCs w:val="20"/>
              </w:rPr>
              <w:t>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根据绩效</w:t>
            </w:r>
            <w:r>
              <w:rPr>
                <w:rFonts w:eastAsia="仿宋_GB2312"/>
                <w:color w:val="auto"/>
                <w:kern w:val="0"/>
                <w:sz w:val="20"/>
                <w:szCs w:val="20"/>
              </w:rPr>
              <w:t>办20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color w:val="auto"/>
                <w:kern w:val="0"/>
                <w:sz w:val="20"/>
                <w:szCs w:val="20"/>
              </w:rPr>
              <w:t>年对</w:t>
            </w:r>
            <w:r>
              <w:rPr>
                <w:rFonts w:eastAsia="仿宋_GB2312"/>
                <w:kern w:val="0"/>
                <w:sz w:val="20"/>
                <w:szCs w:val="20"/>
              </w:rPr>
              <w:t>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10</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95</w:t>
            </w:r>
          </w:p>
        </w:tc>
      </w:tr>
    </w:tbl>
    <w:p>
      <w:pPr>
        <w:spacing w:line="600" w:lineRule="exact"/>
        <w:rPr>
          <w:rFonts w:eastAsia="黑体"/>
          <w:kern w:val="0"/>
          <w:sz w:val="32"/>
          <w:szCs w:val="32"/>
        </w:rPr>
      </w:pPr>
    </w:p>
    <w:p>
      <w:pPr>
        <w:spacing w:line="600" w:lineRule="exact"/>
        <w:rPr>
          <w:rFonts w:hint="eastAsia" w:eastAsia="黑体"/>
          <w:kern w:val="0"/>
          <w:sz w:val="32"/>
          <w:szCs w:val="32"/>
        </w:rPr>
      </w:pPr>
    </w:p>
    <w:p>
      <w:pPr>
        <w:spacing w:line="600" w:lineRule="exact"/>
        <w:rPr>
          <w:rFonts w:hint="eastAsia" w:eastAsia="黑体"/>
          <w:kern w:val="0"/>
          <w:sz w:val="32"/>
          <w:szCs w:val="32"/>
        </w:rPr>
      </w:pPr>
    </w:p>
    <w:p>
      <w:pPr>
        <w:spacing w:line="600" w:lineRule="exact"/>
        <w:rPr>
          <w:rFonts w:eastAsia="黑体"/>
          <w:kern w:val="0"/>
          <w:sz w:val="32"/>
          <w:szCs w:val="32"/>
        </w:rPr>
      </w:pPr>
    </w:p>
    <w:p>
      <w:pPr>
        <w:jc w:val="center"/>
        <w:rPr>
          <w:rFonts w:hint="eastAsia" w:eastAsia="方正小标宋_GBK"/>
          <w:sz w:val="48"/>
          <w:szCs w:val="48"/>
          <w:lang w:val="en-US" w:eastAsia="zh-CN"/>
        </w:rPr>
      </w:pPr>
      <w:r>
        <w:rPr>
          <w:rFonts w:hint="eastAsia" w:eastAsia="方正小标宋_GBK"/>
          <w:sz w:val="48"/>
          <w:szCs w:val="48"/>
          <w:lang w:val="en-US" w:eastAsia="zh-CN"/>
        </w:rPr>
        <w:t>2023</w:t>
      </w:r>
      <w:r>
        <w:rPr>
          <w:rFonts w:eastAsia="方正小标宋_GBK"/>
          <w:sz w:val="48"/>
          <w:szCs w:val="48"/>
        </w:rPr>
        <w:t>年度</w:t>
      </w:r>
      <w:r>
        <w:rPr>
          <w:rFonts w:hint="eastAsia" w:eastAsia="方正小标宋_GBK"/>
          <w:sz w:val="48"/>
          <w:szCs w:val="48"/>
          <w:lang w:val="en-US" w:eastAsia="zh-CN"/>
        </w:rPr>
        <w:t>江永县文化旅游广电体育局</w:t>
      </w:r>
    </w:p>
    <w:p>
      <w:pPr>
        <w:jc w:val="center"/>
        <w:rPr>
          <w:rFonts w:eastAsia="方正小标宋_GBK"/>
          <w:sz w:val="48"/>
          <w:szCs w:val="48"/>
        </w:rPr>
      </w:pPr>
      <w:r>
        <w:rPr>
          <w:rFonts w:eastAsia="方正小标宋_GBK"/>
          <w:sz w:val="48"/>
          <w:szCs w:val="48"/>
        </w:rPr>
        <w:t>整体支出绩效自评报告</w:t>
      </w: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default" w:eastAsia="黑体"/>
          <w:sz w:val="36"/>
          <w:szCs w:val="36"/>
          <w:lang w:val="en-US" w:eastAsia="zh-CN"/>
        </w:rPr>
      </w:pPr>
      <w:r>
        <w:rPr>
          <w:rFonts w:eastAsia="黑体"/>
          <w:sz w:val="36"/>
          <w:szCs w:val="36"/>
        </w:rPr>
        <w:t>单位名称（盖章）：</w:t>
      </w:r>
      <w:r>
        <w:rPr>
          <w:rFonts w:hint="eastAsia" w:eastAsia="黑体"/>
          <w:sz w:val="36"/>
          <w:szCs w:val="36"/>
          <w:lang w:val="en-US" w:eastAsia="zh-CN"/>
        </w:rPr>
        <w:t>江永县文化旅游广电体育局</w:t>
      </w:r>
    </w:p>
    <w:p>
      <w:pPr>
        <w:jc w:val="center"/>
        <w:rPr>
          <w:rFonts w:eastAsia="黑体"/>
          <w:sz w:val="36"/>
          <w:szCs w:val="36"/>
        </w:rPr>
      </w:pPr>
    </w:p>
    <w:p>
      <w:pPr>
        <w:jc w:val="both"/>
        <w:rPr>
          <w:rFonts w:eastAsia="黑体"/>
          <w:sz w:val="32"/>
          <w:szCs w:val="32"/>
        </w:rPr>
      </w:pPr>
    </w:p>
    <w:p>
      <w:pPr>
        <w:jc w:val="center"/>
        <w:rPr>
          <w:rFonts w:eastAsia="黑体"/>
          <w:sz w:val="32"/>
          <w:szCs w:val="32"/>
        </w:rPr>
      </w:pPr>
    </w:p>
    <w:p>
      <w:pPr>
        <w:jc w:val="center"/>
        <w:rPr>
          <w:rFonts w:eastAsia="仿宋_GB2312"/>
          <w:sz w:val="32"/>
          <w:szCs w:val="32"/>
        </w:rPr>
      </w:pP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3" w:firstLineChars="200"/>
        <w:rPr>
          <w:rFonts w:eastAsia="楷体_GB2312"/>
          <w:b/>
          <w:sz w:val="32"/>
          <w:szCs w:val="32"/>
        </w:rPr>
      </w:pPr>
      <w:r>
        <w:rPr>
          <w:rFonts w:eastAsia="楷体_GB2312"/>
          <w:b/>
          <w:sz w:val="32"/>
          <w:szCs w:val="32"/>
        </w:rPr>
        <w:t>（一）部门（单位）基本情况</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spacing w:line="600" w:lineRule="exact"/>
        <w:ind w:firstLine="643" w:firstLineChars="200"/>
        <w:rPr>
          <w:rFonts w:eastAsia="楷体_GB2312"/>
          <w:b/>
          <w:sz w:val="32"/>
          <w:szCs w:val="32"/>
        </w:rPr>
      </w:pPr>
      <w:r>
        <w:rPr>
          <w:rFonts w:eastAsia="楷体_GB2312"/>
          <w:b/>
          <w:sz w:val="32"/>
          <w:szCs w:val="32"/>
        </w:rPr>
        <w:t>（二）部门（单位）年度整体支出绩效目标，省级专项资金绩效目标、其他项目支出（除省级专项资金以外）绩效目标</w:t>
      </w:r>
    </w:p>
    <w:p>
      <w:pPr>
        <w:spacing w:line="600" w:lineRule="exact"/>
        <w:ind w:firstLine="643" w:firstLineChars="200"/>
        <w:rPr>
          <w:rFonts w:hint="eastAsia" w:ascii="仿宋_GB2312" w:hAnsi="仿宋_GB2312" w:eastAsia="仿宋_GB2312" w:cs="仿宋_GB2312"/>
          <w:color w:val="000000"/>
          <w:sz w:val="32"/>
          <w:szCs w:val="32"/>
          <w:lang w:eastAsia="zh-CN"/>
        </w:rPr>
      </w:pPr>
      <w:r>
        <w:rPr>
          <w:rFonts w:hint="eastAsia" w:eastAsia="楷体_GB2312"/>
          <w:b/>
          <w:sz w:val="32"/>
          <w:szCs w:val="32"/>
        </w:rPr>
        <w:t>整体支出绩效目标：</w:t>
      </w:r>
      <w:r>
        <w:rPr>
          <w:rFonts w:hint="eastAsia" w:ascii="仿宋_GB2312" w:hAnsi="仿宋_GB2312" w:eastAsia="仿宋_GB2312" w:cs="仿宋_GB2312"/>
          <w:color w:val="000000"/>
          <w:sz w:val="32"/>
          <w:szCs w:val="32"/>
        </w:rPr>
        <w:t>单位机构运转正常；全县文化设施设备齐全，基本公共文化服务项目设置合理；全县文化、旅游、体育行业管理规范有序</w:t>
      </w:r>
      <w:r>
        <w:rPr>
          <w:rFonts w:hint="eastAsia" w:ascii="仿宋_GB2312" w:hAnsi="仿宋_GB2312" w:eastAsia="仿宋_GB2312" w:cs="仿宋_GB2312"/>
          <w:color w:val="000000"/>
          <w:sz w:val="32"/>
          <w:szCs w:val="32"/>
          <w:lang w:eastAsia="zh-CN"/>
        </w:rPr>
        <w:t>。</w:t>
      </w:r>
    </w:p>
    <w:p>
      <w:pPr>
        <w:pStyle w:val="8"/>
        <w:spacing w:line="600" w:lineRule="exact"/>
        <w:ind w:firstLine="640"/>
        <w:rPr>
          <w:rFonts w:hint="eastAsia" w:ascii="仿宋_GB2312" w:hAnsi="仿宋_GB2312" w:eastAsia="仿宋_GB2312" w:cs="仿宋_GB2312"/>
          <w:color w:val="000000"/>
          <w:kern w:val="2"/>
          <w:sz w:val="32"/>
          <w:szCs w:val="32"/>
          <w:lang w:val="en-US" w:eastAsia="zh-CN" w:bidi="ar-SA"/>
        </w:rPr>
      </w:pPr>
      <w:r>
        <w:rPr>
          <w:rFonts w:hint="eastAsia" w:eastAsia="楷体_GB2312"/>
          <w:b/>
          <w:sz w:val="32"/>
          <w:szCs w:val="32"/>
          <w:lang w:val="en-US" w:eastAsia="zh-CN"/>
        </w:rPr>
        <w:t>专项及</w:t>
      </w:r>
      <w:r>
        <w:rPr>
          <w:rFonts w:eastAsia="楷体_GB2312"/>
          <w:b/>
          <w:sz w:val="32"/>
          <w:szCs w:val="32"/>
        </w:rPr>
        <w:t>其他项目支出绩效目标</w:t>
      </w:r>
      <w:r>
        <w:rPr>
          <w:rFonts w:hint="eastAsia" w:eastAsia="楷体_GB2312"/>
          <w:b/>
          <w:sz w:val="32"/>
          <w:szCs w:val="32"/>
        </w:rPr>
        <w:t>：</w:t>
      </w:r>
      <w:r>
        <w:rPr>
          <w:rFonts w:hint="eastAsia" w:ascii="仿宋_GB2312" w:hAnsi="仿宋_GB2312" w:eastAsia="仿宋_GB2312" w:cs="仿宋_GB2312"/>
          <w:color w:val="000000"/>
          <w:kern w:val="2"/>
          <w:sz w:val="32"/>
          <w:szCs w:val="32"/>
          <w:lang w:val="en-US" w:eastAsia="zh-CN" w:bidi="ar-SA"/>
        </w:rPr>
        <w:t>围绕县委县政府工作大局，做好文化、旅游、体育和文物等各项工作，提升全县旅游服务水平，提高全民健身素质，活化非遗、文物工作，创新文化工作。</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8"/>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8"/>
        <w:spacing w:line="600" w:lineRule="exact"/>
        <w:ind w:firstLine="640"/>
        <w:rPr>
          <w:rFonts w:ascii="Times New Roman" w:hAnsi="Times New Roman" w:eastAsia="楷体_GB2312"/>
          <w:b/>
          <w:sz w:val="32"/>
          <w:szCs w:val="32"/>
        </w:rPr>
      </w:pPr>
      <w:r>
        <w:rPr>
          <w:rFonts w:hint="eastAsia" w:ascii="仿宋_GB2312" w:hAnsi="仿宋_GB2312" w:eastAsia="仿宋_GB2312" w:cs="仿宋_GB2312"/>
          <w:kern w:val="0"/>
          <w:sz w:val="32"/>
          <w:szCs w:val="32"/>
        </w:rPr>
        <w:t>基本支出系保障我单位正常运转、完成日常工作任务而发生的各项支出。202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年度,江永县文旅广体局基本支出资金</w:t>
      </w:r>
      <w:r>
        <w:rPr>
          <w:rFonts w:hint="eastAsia" w:ascii="仿宋_GB2312" w:hAnsi="仿宋_GB2312" w:eastAsia="仿宋_GB2312" w:cs="仿宋_GB2312"/>
          <w:kern w:val="0"/>
          <w:sz w:val="32"/>
          <w:szCs w:val="32"/>
          <w:lang w:val="en-US" w:eastAsia="zh-CN"/>
        </w:rPr>
        <w:t>276.61</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222.7</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53.91</w:t>
      </w:r>
      <w:r>
        <w:rPr>
          <w:rFonts w:hint="eastAsia" w:ascii="仿宋_GB2312" w:hAnsi="仿宋_GB2312" w:eastAsia="仿宋_GB2312" w:cs="仿宋_GB2312"/>
          <w:kern w:val="0"/>
          <w:sz w:val="32"/>
          <w:szCs w:val="32"/>
        </w:rPr>
        <w:t>万元。</w:t>
      </w:r>
    </w:p>
    <w:p>
      <w:pPr>
        <w:pStyle w:val="8"/>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（二）项目支出情况</w:t>
      </w:r>
    </w:p>
    <w:p>
      <w:pPr>
        <w:spacing w:line="600" w:lineRule="exact"/>
        <w:ind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2023年度江永县文旅广体局项目支出1853.75万元。其中预算项目支出情况：</w:t>
      </w:r>
      <w:r>
        <w:rPr>
          <w:rFonts w:hint="eastAsia" w:ascii="仿宋_GB2312" w:hAnsi="仿宋_GB2312" w:eastAsia="仿宋_GB2312" w:cs="仿宋_GB2312"/>
          <w:sz w:val="32"/>
          <w:szCs w:val="32"/>
        </w:rPr>
        <w:t>老年</w:t>
      </w:r>
      <w:r>
        <w:rPr>
          <w:rFonts w:hint="eastAsia" w:ascii="仿宋_GB2312" w:hAnsi="仿宋_GB2312" w:eastAsia="仿宋_GB2312" w:cs="仿宋_GB2312"/>
          <w:sz w:val="32"/>
          <w:szCs w:val="32"/>
          <w:lang w:val="en-US" w:eastAsia="zh-CN"/>
        </w:rPr>
        <w:t>人体育</w:t>
      </w:r>
      <w:r>
        <w:rPr>
          <w:rFonts w:hint="eastAsia" w:ascii="仿宋_GB2312" w:hAnsi="仿宋_GB2312" w:eastAsia="仿宋_GB2312" w:cs="仿宋_GB2312"/>
          <w:sz w:val="32"/>
          <w:szCs w:val="32"/>
        </w:rPr>
        <w:t>协会经费2.7万元，</w:t>
      </w:r>
      <w:r>
        <w:rPr>
          <w:rFonts w:hint="eastAsia" w:ascii="仿宋_GB2312" w:hAnsi="仿宋_GB2312" w:eastAsia="仿宋_GB2312" w:cs="仿宋_GB2312"/>
          <w:sz w:val="32"/>
          <w:szCs w:val="32"/>
          <w:lang w:eastAsia="zh-CN"/>
        </w:rPr>
        <w:t>扫黄打非工作经费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体校生活补助3</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，参赛活动费</w:t>
      </w:r>
      <w:r>
        <w:rPr>
          <w:rFonts w:hint="eastAsia" w:ascii="仿宋_GB2312" w:hAnsi="仿宋_GB2312" w:eastAsia="仿宋_GB2312" w:cs="仿宋_GB2312"/>
          <w:sz w:val="32"/>
          <w:szCs w:val="32"/>
          <w:lang w:val="en-US" w:eastAsia="zh-CN"/>
        </w:rPr>
        <w:t>1万元，女书研究管理中心工作经费5万元，</w:t>
      </w:r>
      <w:r>
        <w:rPr>
          <w:rFonts w:hint="eastAsia" w:ascii="仿宋_GB2312" w:hAnsi="仿宋_GB2312" w:eastAsia="仿宋_GB2312" w:cs="仿宋_GB2312"/>
          <w:sz w:val="32"/>
          <w:szCs w:val="32"/>
          <w:lang w:eastAsia="zh-CN"/>
        </w:rPr>
        <w:t>非遗产传人适当补助</w:t>
      </w:r>
      <w:r>
        <w:rPr>
          <w:rFonts w:hint="eastAsia" w:ascii="仿宋_GB2312" w:hAnsi="仿宋_GB2312" w:eastAsia="仿宋_GB2312" w:cs="仿宋_GB2312"/>
          <w:sz w:val="32"/>
          <w:szCs w:val="32"/>
          <w:lang w:val="en-US" w:eastAsia="zh-CN"/>
        </w:rPr>
        <w:t>12万元，文物工作经费37.5万元。其他项目支出情况：巩固公共文化服务体系高质量发展五年行动计划、2023江永女书国际音乐旅游周活动、5.19中国旅游日永明河畔醉美你我主题活动等文化工作及活动支出703.32万元；公益瑶医文化体验传承基地、《八角花开》演出、《我是非遗传承人系列之女书》纪录片制作等非遗项目支出60.07万元；文物支出995.37万元；体育支出3.99万元。</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8"/>
        <w:spacing w:line="600" w:lineRule="exact"/>
        <w:ind w:firstLine="64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2023年度江永县文旅广体局政府性基金预算支出1114.7万元，其中其他地方自行试点项目收益专项债券收入安排的支出1091.89万元，用于体育事业的彩票公益金支出22.81万元。</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8"/>
        <w:spacing w:line="600" w:lineRule="exact"/>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8"/>
        <w:spacing w:line="600" w:lineRule="exact"/>
        <w:ind w:firstLine="640"/>
        <w:rPr>
          <w:rFonts w:eastAsia="黑体"/>
          <w:sz w:val="32"/>
          <w:szCs w:val="32"/>
        </w:rPr>
      </w:pPr>
      <w:r>
        <w:rPr>
          <w:rFonts w:hint="eastAsia" w:ascii="仿宋_GB2312" w:hAnsi="仿宋_GB2312" w:eastAsia="仿宋_GB2312" w:cs="仿宋_GB2312"/>
          <w:kern w:val="0"/>
          <w:sz w:val="32"/>
          <w:szCs w:val="32"/>
          <w:lang w:val="en-US" w:eastAsia="zh-CN" w:bidi="ar-SA"/>
        </w:rPr>
        <w:t>无</w:t>
      </w:r>
    </w:p>
    <w:p>
      <w:pPr>
        <w:spacing w:line="600" w:lineRule="exact"/>
        <w:ind w:firstLine="640" w:firstLineChars="200"/>
        <w:rPr>
          <w:rFonts w:eastAsia="黑体"/>
          <w:sz w:val="32"/>
          <w:szCs w:val="32"/>
        </w:rPr>
      </w:pPr>
      <w:r>
        <w:rPr>
          <w:rFonts w:eastAsia="黑体"/>
          <w:sz w:val="32"/>
          <w:szCs w:val="32"/>
        </w:rPr>
        <w:t>六、部门整体支出绩效情况</w:t>
      </w:r>
    </w:p>
    <w:p>
      <w:pPr>
        <w:pStyle w:val="8"/>
        <w:spacing w:line="600" w:lineRule="exact"/>
        <w:ind w:firstLine="640"/>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根据《江永县财政局关于开展</w:t>
      </w:r>
      <w:r>
        <w:rPr>
          <w:rFonts w:hint="eastAsia" w:ascii="Times New Roman" w:hAnsi="Times New Roman" w:eastAsia="仿宋_GB2312" w:cs="Times New Roman"/>
          <w:kern w:val="2"/>
          <w:sz w:val="32"/>
          <w:szCs w:val="32"/>
          <w:lang w:val="en-US" w:eastAsia="zh-CN" w:bidi="ar-SA"/>
        </w:rPr>
        <w:t>2023年度财政资金绩效自评工作的通知》（江永财发〔2024〕4号）文件，经评定我单位2023年部门整体支出绩效从投入、过程、产出及效率自评，自评得分为95分。</w:t>
      </w:r>
    </w:p>
    <w:p>
      <w:pPr>
        <w:pStyle w:val="8"/>
        <w:spacing w:line="600" w:lineRule="exact"/>
        <w:ind w:firstLine="640"/>
        <w:rPr>
          <w:rFonts w:hint="default" w:ascii="Times New Roman" w:hAnsi="Times New Roman" w:eastAsia="黑体"/>
          <w:sz w:val="32"/>
          <w:szCs w:val="32"/>
          <w:lang w:val="en-US"/>
        </w:rPr>
      </w:pPr>
      <w:r>
        <w:rPr>
          <w:rStyle w:val="9"/>
          <w:rFonts w:hint="eastAsia" w:ascii="Times New Roman" w:hAnsi="Times New Roman" w:eastAsia="仿宋_GB2312" w:cs="Times New Roman"/>
          <w:b w:val="0"/>
          <w:bCs/>
          <w:i w:val="0"/>
          <w:caps w:val="0"/>
          <w:spacing w:val="0"/>
          <w:w w:val="100"/>
          <w:sz w:val="32"/>
          <w:szCs w:val="32"/>
          <w:lang w:val="en-US" w:eastAsia="zh-CN" w:bidi="ar-SA"/>
        </w:rPr>
        <w:t>这一年里，</w:t>
      </w:r>
      <w:r>
        <w:rPr>
          <w:rStyle w:val="10"/>
          <w:rFonts w:hint="default" w:ascii="Times New Roman" w:hAnsi="Times New Roman" w:eastAsia="仿宋_GB2312" w:cs="Times New Roman"/>
          <w:sz w:val="32"/>
          <w:szCs w:val="32"/>
          <w:lang w:eastAsia="zh-CN"/>
        </w:rPr>
        <w:t>在县委县政府</w:t>
      </w:r>
      <w:r>
        <w:rPr>
          <w:rStyle w:val="10"/>
          <w:rFonts w:hint="eastAsia" w:ascii="Times New Roman" w:hAnsi="Times New Roman" w:eastAsia="仿宋_GB2312" w:cs="Times New Roman"/>
          <w:sz w:val="32"/>
          <w:szCs w:val="32"/>
          <w:lang w:val="en-US" w:eastAsia="zh-CN"/>
        </w:rPr>
        <w:t>及</w:t>
      </w:r>
      <w:r>
        <w:rPr>
          <w:rStyle w:val="10"/>
          <w:rFonts w:hint="default" w:ascii="Times New Roman" w:hAnsi="Times New Roman" w:eastAsia="仿宋_GB2312" w:cs="Times New Roman"/>
          <w:sz w:val="32"/>
          <w:szCs w:val="32"/>
          <w:lang w:eastAsia="zh-CN"/>
        </w:rPr>
        <w:t>上级部门的关心及指导下，我局</w:t>
      </w:r>
      <w:r>
        <w:rPr>
          <w:rStyle w:val="10"/>
          <w:rFonts w:hint="eastAsia" w:ascii="Times New Roman" w:hAnsi="Times New Roman" w:eastAsia="仿宋_GB2312" w:cs="Times New Roman"/>
          <w:sz w:val="32"/>
          <w:szCs w:val="32"/>
          <w:lang w:val="en-US" w:eastAsia="zh-CN"/>
        </w:rPr>
        <w:t>取得以下亮点工作成绩：</w:t>
      </w:r>
      <w:r>
        <w:rPr>
          <w:rStyle w:val="10"/>
          <w:rFonts w:hint="eastAsia" w:ascii="Times New Roman" w:hAnsi="Times New Roman" w:eastAsia="仿宋_GB2312" w:cs="Times New Roman"/>
          <w:b/>
          <w:bCs/>
          <w:sz w:val="32"/>
          <w:szCs w:val="32"/>
          <w:lang w:val="en-US" w:eastAsia="zh-CN"/>
        </w:rPr>
        <w:t>公共文化服务效能进一步增强</w:t>
      </w:r>
      <w:r>
        <w:rPr>
          <w:rStyle w:val="10"/>
          <w:rFonts w:hint="eastAsia" w:ascii="Times New Roman" w:hAnsi="Times New Roman" w:eastAsia="仿宋_GB2312" w:cs="Times New Roman"/>
          <w:sz w:val="32"/>
          <w:szCs w:val="32"/>
          <w:lang w:val="en-US" w:eastAsia="zh-CN"/>
        </w:rPr>
        <w:t>，精心策划、承办、协办惠民活动共计160余场次，惠及群众28万人次，全年人均接受文化场馆服务次数为3.04，极大丰富了广大群众的文化生活；</w:t>
      </w:r>
      <w:r>
        <w:rPr>
          <w:rStyle w:val="10"/>
          <w:rFonts w:hint="eastAsia" w:ascii="Times New Roman" w:hAnsi="Times New Roman" w:eastAsia="仿宋_GB2312" w:cs="Times New Roman"/>
          <w:b/>
          <w:bCs/>
          <w:sz w:val="32"/>
          <w:szCs w:val="32"/>
          <w:lang w:val="en-US" w:eastAsia="zh-CN"/>
        </w:rPr>
        <w:t>旅游产业活力进一步提升</w:t>
      </w:r>
      <w:r>
        <w:rPr>
          <w:rStyle w:val="10"/>
          <w:rFonts w:hint="eastAsia" w:ascii="Times New Roman" w:hAnsi="Times New Roman" w:eastAsia="仿宋_GB2312" w:cs="Times New Roman"/>
          <w:sz w:val="32"/>
          <w:szCs w:val="32"/>
          <w:lang w:val="en-US" w:eastAsia="zh-CN"/>
        </w:rPr>
        <w:t>，2023年接待游客总人数509.2万人次，同比增长75.85%，旅游综合收入50.62亿元，同比增长72.82%；文旅宣传推广方式进一步创新，成功举办2023江永女书国际音乐旅游周，积极参加省内外展会活动推介江永旅游；</w:t>
      </w:r>
      <w:r>
        <w:rPr>
          <w:rStyle w:val="10"/>
          <w:rFonts w:hint="eastAsia" w:ascii="Times New Roman" w:hAnsi="Times New Roman" w:eastAsia="仿宋_GB2312" w:cs="Times New Roman"/>
          <w:b/>
          <w:bCs/>
          <w:sz w:val="32"/>
          <w:szCs w:val="32"/>
          <w:lang w:val="en-US" w:eastAsia="zh-CN"/>
        </w:rPr>
        <w:t>文化遗产保护利用进一步活化</w:t>
      </w:r>
      <w:r>
        <w:rPr>
          <w:rStyle w:val="10"/>
          <w:rFonts w:hint="eastAsia" w:ascii="Times New Roman" w:hAnsi="Times New Roman" w:eastAsia="仿宋_GB2312" w:cs="Times New Roman"/>
          <w:sz w:val="32"/>
          <w:szCs w:val="32"/>
          <w:lang w:val="en-US" w:eastAsia="zh-CN"/>
        </w:rPr>
        <w:t>，获批国保资金支持计划项目3个，为全市第一，成功申报省级、市级非遗项目共7个，申报省级、市级非遗传承人共计5名；</w:t>
      </w:r>
      <w:r>
        <w:rPr>
          <w:rStyle w:val="10"/>
          <w:rFonts w:hint="eastAsia" w:ascii="Times New Roman" w:hAnsi="Times New Roman" w:eastAsia="仿宋_GB2312" w:cs="Times New Roman"/>
          <w:b/>
          <w:bCs/>
          <w:sz w:val="32"/>
          <w:szCs w:val="32"/>
          <w:lang w:val="en-US" w:eastAsia="zh-CN"/>
        </w:rPr>
        <w:t>竞技体育和全民健身水平进一步提升</w:t>
      </w:r>
      <w:r>
        <w:rPr>
          <w:rStyle w:val="10"/>
          <w:rFonts w:hint="eastAsia" w:ascii="Times New Roman" w:hAnsi="Times New Roman" w:eastAsia="仿宋_GB2312" w:cs="Times New Roman"/>
          <w:sz w:val="32"/>
          <w:szCs w:val="32"/>
          <w:lang w:val="en-US" w:eastAsia="zh-CN"/>
        </w:rPr>
        <w:t>，搭建高质量体育赛事平台，成功举办“中国体育彩票”全民健身大会“跑动潇湘”2023永州江永半程马拉松，江永少年业余体校成功获评国家重点高水平体育后备人才基地（2021-2024），获评省级体育后备人才基地（2023-2026）。</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spacing w:line="600" w:lineRule="exact"/>
        <w:ind w:firstLine="640" w:firstLineChars="200"/>
        <w:rPr>
          <w:rFonts w:eastAsia="仿宋_GB2312" w:cs="Times New Roman"/>
          <w:sz w:val="32"/>
          <w:szCs w:val="32"/>
        </w:rPr>
      </w:pPr>
      <w:r>
        <w:rPr>
          <w:rFonts w:eastAsia="仿宋_GB2312" w:cs="Times New Roman"/>
          <w:sz w:val="32"/>
          <w:szCs w:val="32"/>
        </w:rPr>
        <w:t>一是预算编制不够准确，年度内预算调整较大。二是支出控制还需要加强。三是财务人员业务水平有待进一步提升。</w:t>
      </w:r>
    </w:p>
    <w:p>
      <w:pPr>
        <w:spacing w:line="600" w:lineRule="exact"/>
        <w:ind w:firstLine="640" w:firstLineChars="200"/>
        <w:rPr>
          <w:rFonts w:eastAsia="黑体"/>
          <w:sz w:val="32"/>
          <w:szCs w:val="32"/>
        </w:rPr>
      </w:pPr>
      <w:r>
        <w:rPr>
          <w:rFonts w:eastAsia="黑体"/>
          <w:sz w:val="32"/>
          <w:szCs w:val="32"/>
        </w:rPr>
        <w:t>八、下一步改进措施</w:t>
      </w:r>
    </w:p>
    <w:p>
      <w:pPr>
        <w:spacing w:line="600" w:lineRule="exact"/>
        <w:ind w:firstLine="640" w:firstLineChars="200"/>
        <w:rPr>
          <w:rFonts w:hint="eastAsia" w:eastAsia="仿宋_GB2312" w:cs="Times New Roman"/>
          <w:sz w:val="32"/>
          <w:szCs w:val="32"/>
        </w:rPr>
      </w:pPr>
      <w:r>
        <w:rPr>
          <w:rFonts w:eastAsia="仿宋_GB2312" w:cs="Times New Roman"/>
          <w:sz w:val="32"/>
          <w:szCs w:val="32"/>
        </w:rPr>
        <w:t>一是进一步</w:t>
      </w:r>
      <w:r>
        <w:rPr>
          <w:rFonts w:hint="eastAsia" w:eastAsia="仿宋_GB2312" w:cs="Times New Roman"/>
          <w:sz w:val="32"/>
          <w:szCs w:val="32"/>
        </w:rPr>
        <w:t>细化预算编制工作，认真做好预算的编制，进一步加强内部机构各股室的预算管理意识，严格按照预算编制的相关制度和要求进行预算编制；加强年初项目预算编制，落实到具体项目并严格规范执行。二是加强支出控制管理。增强行政成本意识，细化预算编制，引入数理统计方法，通过定性分析与定量分析结合，不断提高日常公用经费预算编制的准确度；加强预算执行的约束机制，明确预算执行的绩效标准和考核制度，对行政成本控制情况的评价提供制度基础。三是加强对财务人员的培训力度，提高财务人员预算编制水平、财务核算水平。</w:t>
      </w:r>
    </w:p>
    <w:p>
      <w:pPr>
        <w:spacing w:line="600" w:lineRule="exact"/>
        <w:ind w:firstLine="640" w:firstLineChars="200"/>
        <w:rPr>
          <w:rFonts w:eastAsia="黑体"/>
          <w:sz w:val="32"/>
          <w:szCs w:val="32"/>
        </w:rPr>
      </w:pPr>
      <w:r>
        <w:rPr>
          <w:rFonts w:eastAsia="黑体"/>
          <w:sz w:val="32"/>
          <w:szCs w:val="32"/>
        </w:rPr>
        <w:t>九、绩效自评结果拟应用和公开情况</w:t>
      </w:r>
    </w:p>
    <w:p>
      <w:pPr>
        <w:spacing w:line="600" w:lineRule="exact"/>
        <w:ind w:firstLine="640" w:firstLineChars="200"/>
        <w:rPr>
          <w:rFonts w:eastAsia="黑体"/>
          <w:sz w:val="32"/>
          <w:szCs w:val="32"/>
        </w:rPr>
      </w:pPr>
      <w:r>
        <w:rPr>
          <w:rFonts w:eastAsia="仿宋_GB2312" w:cs="Times New Roman"/>
          <w:sz w:val="32"/>
          <w:szCs w:val="32"/>
        </w:rPr>
        <w:t>绩效自评结果按照规定公开公示。</w:t>
      </w:r>
    </w:p>
    <w:p>
      <w:pPr>
        <w:spacing w:line="600" w:lineRule="exact"/>
        <w:ind w:firstLine="640" w:firstLineChars="200"/>
        <w:rPr>
          <w:rFonts w:eastAsia="黑体"/>
          <w:sz w:val="32"/>
          <w:szCs w:val="32"/>
        </w:rPr>
      </w:pPr>
      <w:r>
        <w:rPr>
          <w:rFonts w:eastAsia="黑体"/>
          <w:sz w:val="32"/>
          <w:szCs w:val="32"/>
        </w:rPr>
        <w:t>其他需要说明的情况</w:t>
      </w:r>
    </w:p>
    <w:p>
      <w:pPr>
        <w:rPr>
          <w:sz w:val="30"/>
          <w:szCs w:val="30"/>
        </w:rPr>
      </w:pPr>
    </w:p>
    <w:p>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文化旅游事业发展专项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269.9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1877.16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1877.16</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1.全年组织、参与、开展文化惠民活动不少于60场；2.惠及群众超过20万人次；3.开展非遗进校园、进社区、进景区不少于100次；4.</w:t>
            </w:r>
            <w:r>
              <w:rPr>
                <w:rFonts w:hint="eastAsia" w:eastAsia="仿宋_GB2312"/>
                <w:color w:val="000000"/>
                <w:kern w:val="0"/>
                <w:szCs w:val="21"/>
              </w:rPr>
              <w:t>建设游客咨询点、旅游智慧停车场、露营基地，完善景区照明设施，旅游道路“白改黑”，石板路提质改造，给排水系统提质改造，电力电信系统提质改造，完善污水处理设施，实施景区环境治理；建设一批休息亭、公共厕所、垃圾转运站，旅游标识系统等</w:t>
            </w:r>
            <w:r>
              <w:rPr>
                <w:rFonts w:hint="eastAsia" w:eastAsia="仿宋_GB2312"/>
                <w:color w:val="000000"/>
                <w:kern w:val="0"/>
                <w:szCs w:val="21"/>
                <w:lang w:eastAsia="zh-CN"/>
              </w:rPr>
              <w:t>，文物建筑保护修缮及展示利用工程</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1.全年组织、参与、开展文化惠民活动160余场；2.惠及群众28万人次；3.开展非遗进校园、进社区、进景区约200次；4.</w:t>
            </w:r>
            <w:r>
              <w:rPr>
                <w:rFonts w:eastAsia="仿宋_GB2312"/>
                <w:color w:val="000000"/>
                <w:kern w:val="0"/>
                <w:szCs w:val="21"/>
              </w:rPr>
              <w:t>完成</w:t>
            </w:r>
            <w:r>
              <w:rPr>
                <w:rFonts w:hint="eastAsia" w:eastAsia="仿宋_GB2312"/>
                <w:color w:val="000000"/>
                <w:kern w:val="0"/>
                <w:szCs w:val="21"/>
              </w:rPr>
              <w:t>建设游客咨询点、旅游智慧停车场、旅游道路“白改黑”，给排水系统提质改造，实施景区环境治理；建设旅游标识系统</w:t>
            </w:r>
            <w:r>
              <w:rPr>
                <w:rFonts w:hint="eastAsia" w:eastAsia="仿宋_GB2312"/>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文化惠民活动</w:t>
            </w:r>
          </w:p>
        </w:tc>
        <w:tc>
          <w:tcPr>
            <w:tcW w:w="120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≥60场</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160余场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文化活动惠及群众</w:t>
            </w:r>
          </w:p>
        </w:tc>
        <w:tc>
          <w:tcPr>
            <w:tcW w:w="120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≥20万人次</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28万人次</w:t>
            </w:r>
          </w:p>
        </w:tc>
        <w:tc>
          <w:tcPr>
            <w:tcW w:w="828"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非遗进校园、进社区、进景区</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200次</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s="Times New Roman"/>
                <w:color w:val="000000"/>
                <w:kern w:val="0"/>
                <w:szCs w:val="21"/>
                <w:lang w:val="en-US" w:eastAsia="zh-CN"/>
              </w:rPr>
              <w:t>女书培训班人员合格率</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90%</w:t>
            </w:r>
          </w:p>
        </w:tc>
        <w:tc>
          <w:tcPr>
            <w:tcW w:w="1134" w:type="dxa"/>
            <w:noWrap w:val="0"/>
            <w:vAlign w:val="center"/>
          </w:tcPr>
          <w:p>
            <w:pPr>
              <w:widowControl/>
              <w:jc w:val="left"/>
              <w:rPr>
                <w:rFonts w:eastAsia="仿宋_GB2312"/>
                <w:color w:val="000000"/>
                <w:kern w:val="0"/>
                <w:szCs w:val="21"/>
              </w:rPr>
            </w:pPr>
            <w:r>
              <w:rPr>
                <w:rFonts w:hint="eastAsia"/>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完成时间</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2023年内</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文化活动等已完成</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勾蓝瑶寨4A景区提质升级</w:t>
            </w:r>
            <w:r>
              <w:rPr>
                <w:rFonts w:hint="eastAsia" w:eastAsia="仿宋_GB2312"/>
                <w:color w:val="000000"/>
                <w:kern w:val="0"/>
                <w:szCs w:val="21"/>
                <w:lang w:val="en-US" w:eastAsia="zh-CN"/>
              </w:rPr>
              <w:t>项目中文物修缮完工90%，展陈馆还在建设中。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项目资金</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1877.16万元</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1877.16万元</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带动旅游综合收入</w:t>
            </w:r>
          </w:p>
        </w:tc>
        <w:tc>
          <w:tcPr>
            <w:tcW w:w="1209"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≥40亿元</w:t>
            </w:r>
            <w:r>
              <w:rPr>
                <w:rFonts w:eastAsia="仿宋_GB2312"/>
                <w:color w:val="000000"/>
                <w:kern w:val="0"/>
                <w:szCs w:val="21"/>
              </w:rPr>
              <w:t>　</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50.62亿元</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推广文旅品牌效果明显</w:t>
            </w:r>
          </w:p>
        </w:tc>
        <w:tc>
          <w:tcPr>
            <w:tcW w:w="12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明显</w:t>
            </w:r>
          </w:p>
        </w:tc>
        <w:tc>
          <w:tcPr>
            <w:tcW w:w="1134"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明显</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ascii="Calibri" w:hAnsi="Calibri" w:eastAsia="仿宋_GB2312" w:cs="Times New Roman"/>
                <w:color w:val="000000"/>
                <w:kern w:val="0"/>
                <w:sz w:val="18"/>
                <w:szCs w:val="18"/>
                <w:lang w:val="en-US" w:eastAsia="zh-CN" w:bidi="ar-SA"/>
              </w:rPr>
            </w:pPr>
            <w:r>
              <w:rPr>
                <w:rFonts w:hint="eastAsia" w:eastAsia="仿宋_GB2312" w:cs="Times New Roman"/>
                <w:color w:val="000000"/>
                <w:kern w:val="0"/>
                <w:szCs w:val="21"/>
                <w:lang w:val="en-US" w:eastAsia="zh-CN"/>
              </w:rPr>
              <w:t>营造良好的人文生态环境</w:t>
            </w:r>
          </w:p>
        </w:tc>
        <w:tc>
          <w:tcPr>
            <w:tcW w:w="1209" w:type="dxa"/>
            <w:noWrap w:val="0"/>
            <w:vAlign w:val="center"/>
          </w:tcPr>
          <w:p>
            <w:pPr>
              <w:widowControl/>
              <w:jc w:val="left"/>
              <w:rPr>
                <w:rFonts w:hint="eastAsia"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良好</w:t>
            </w:r>
          </w:p>
        </w:tc>
        <w:tc>
          <w:tcPr>
            <w:tcW w:w="1134" w:type="dxa"/>
            <w:noWrap w:val="0"/>
            <w:vAlign w:val="center"/>
          </w:tcPr>
          <w:p>
            <w:pPr>
              <w:widowControl/>
              <w:jc w:val="left"/>
              <w:rPr>
                <w:rFonts w:hint="eastAsia"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良好</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景区环境得到改善</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有所改善</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有所改善</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基本公共文化服务水平提升</w:t>
            </w:r>
          </w:p>
        </w:tc>
        <w:tc>
          <w:tcPr>
            <w:tcW w:w="1209"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有所提升</w:t>
            </w:r>
          </w:p>
        </w:tc>
        <w:tc>
          <w:tcPr>
            <w:tcW w:w="1134"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持续提升</w:t>
            </w:r>
          </w:p>
        </w:tc>
        <w:tc>
          <w:tcPr>
            <w:tcW w:w="828"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全民文化素养提升</w:t>
            </w:r>
          </w:p>
        </w:tc>
        <w:tc>
          <w:tcPr>
            <w:tcW w:w="1209"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有所提升</w:t>
            </w:r>
          </w:p>
        </w:tc>
        <w:tc>
          <w:tcPr>
            <w:tcW w:w="1134"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大有提升</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群众满意度</w:t>
            </w:r>
          </w:p>
        </w:tc>
        <w:tc>
          <w:tcPr>
            <w:tcW w:w="120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95%</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景区居民满意度</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hint="eastAsia" w:ascii="黑体" w:hAnsi="宋体" w:eastAsia="黑体"/>
          <w:kern w:val="0"/>
          <w:sz w:val="32"/>
          <w:szCs w:val="32"/>
        </w:rPr>
      </w:pPr>
      <w:r>
        <w:rPr>
          <w:rFonts w:eastAsia="黑体"/>
          <w:sz w:val="32"/>
          <w:szCs w:val="32"/>
        </w:rPr>
        <w:br w:type="page"/>
      </w:r>
    </w:p>
    <w:p>
      <w:pPr>
        <w:jc w:val="center"/>
        <w:rPr>
          <w:rFonts w:hint="eastAsia" w:ascii="宋体" w:hAnsi="宋体" w:cs="Arial"/>
          <w:b/>
          <w:bCs/>
          <w:color w:val="auto"/>
          <w:sz w:val="44"/>
          <w:szCs w:val="44"/>
          <w:lang w:val="en-US" w:eastAsia="zh-CN"/>
        </w:rPr>
      </w:pPr>
      <w:r>
        <w:rPr>
          <w:rFonts w:hint="eastAsia" w:ascii="宋体" w:hAnsi="宋体" w:cs="Arial"/>
          <w:b/>
          <w:bCs/>
          <w:color w:val="auto"/>
          <w:sz w:val="44"/>
          <w:szCs w:val="44"/>
          <w:lang w:val="en-US" w:eastAsia="zh-CN"/>
        </w:rPr>
        <w:t>文化旅游事业发展专项</w:t>
      </w:r>
    </w:p>
    <w:p>
      <w:pPr>
        <w:jc w:val="center"/>
        <w:rPr>
          <w:rFonts w:hint="eastAsia" w:ascii="宋体" w:hAnsi="宋体"/>
          <w:b/>
          <w:bCs/>
          <w:sz w:val="44"/>
          <w:szCs w:val="44"/>
        </w:rPr>
      </w:pPr>
      <w:r>
        <w:rPr>
          <w:rFonts w:hint="eastAsia" w:ascii="宋体" w:hAnsi="宋体" w:cs="Arial"/>
          <w:b/>
          <w:bCs/>
          <w:color w:val="auto"/>
          <w:sz w:val="44"/>
          <w:szCs w:val="44"/>
        </w:rPr>
        <w:t>202</w:t>
      </w:r>
      <w:r>
        <w:rPr>
          <w:rFonts w:hint="eastAsia" w:ascii="宋体" w:hAnsi="宋体" w:cs="Arial"/>
          <w:b/>
          <w:bCs/>
          <w:color w:val="auto"/>
          <w:sz w:val="44"/>
          <w:szCs w:val="44"/>
          <w:lang w:val="en-US" w:eastAsia="zh-CN"/>
        </w:rPr>
        <w:t>3</w:t>
      </w:r>
      <w:r>
        <w:rPr>
          <w:rFonts w:hint="eastAsia" w:ascii="宋体" w:hAnsi="宋体"/>
          <w:b/>
          <w:bCs/>
          <w:sz w:val="44"/>
          <w:szCs w:val="44"/>
        </w:rPr>
        <w:t>年度绩效自评报告</w:t>
      </w:r>
    </w:p>
    <w:p>
      <w:pPr>
        <w:numPr>
          <w:ilvl w:val="0"/>
          <w:numId w:val="1"/>
        </w:numPr>
        <w:spacing w:line="360" w:lineRule="auto"/>
        <w:rPr>
          <w:rFonts w:hint="eastAsia"/>
          <w:sz w:val="32"/>
          <w:szCs w:val="32"/>
        </w:rPr>
      </w:pPr>
      <w:r>
        <w:rPr>
          <w:rFonts w:hint="eastAsia"/>
          <w:sz w:val="32"/>
          <w:szCs w:val="32"/>
        </w:rPr>
        <w:t>项目概况</w:t>
      </w:r>
    </w:p>
    <w:p>
      <w:pPr>
        <w:numPr>
          <w:ilvl w:val="0"/>
          <w:numId w:val="2"/>
        </w:numPr>
        <w:spacing w:line="360" w:lineRule="auto"/>
        <w:rPr>
          <w:rFonts w:hint="eastAsia"/>
          <w:sz w:val="32"/>
          <w:szCs w:val="32"/>
        </w:rPr>
      </w:pPr>
      <w:r>
        <w:rPr>
          <w:rFonts w:hint="eastAsia"/>
          <w:sz w:val="32"/>
          <w:szCs w:val="32"/>
        </w:rPr>
        <w:t>项目单位基本情况。</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项目基本情况简介</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文化旅游事业发展专项包括文化、非遗、旅游三个大类，文化事业开支主要用于“我们的中国梦·文化进万家”文化惠民暨“‘香’约江永·喜闹元宵”“5·19中国旅游日”暨永明河畔“醉”美你我、“公共文化进村入户·戏曲进乡村”、2023江永女书国际音乐旅游周等活动费用及产生的相关工作费用，全年共计708.02万元；非遗事业主要用于向上申报、宣传非遗，例如2023年向上申报四个省级非遗项目、四个市级非遗项目、一个女书省级生态保护区，开展女书培训班、拍摄《我是非遗传承人系列之女书》纪录片、《女书谣》歌曲及MV等宣传非遗，全年共计非遗事业费用77.07万元；旅游方面开支主要是勾蓝瑶寨4A景区提质升级，全年共计费用1091.89万元。</w:t>
      </w:r>
    </w:p>
    <w:p>
      <w:pPr>
        <w:pageBreakBefore w:val="0"/>
        <w:numPr>
          <w:ilvl w:val="0"/>
          <w:numId w:val="3"/>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项目资金使用及管理情况</w:t>
      </w:r>
    </w:p>
    <w:p>
      <w:pPr>
        <w:pageBreakBefore w:val="0"/>
        <w:widowControl w:val="0"/>
        <w:numPr>
          <w:ilvl w:val="0"/>
          <w:numId w:val="4"/>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w:t>
      </w:r>
      <w:r>
        <w:rPr>
          <w:rFonts w:hint="eastAsia"/>
          <w:sz w:val="32"/>
          <w:szCs w:val="32"/>
          <w:lang w:val="en-US" w:eastAsia="zh-CN"/>
        </w:rPr>
        <w:t>安排</w:t>
      </w:r>
      <w:r>
        <w:rPr>
          <w:rFonts w:hint="eastAsia"/>
          <w:sz w:val="32"/>
          <w:szCs w:val="32"/>
        </w:rPr>
        <w:t>资金情况</w:t>
      </w:r>
    </w:p>
    <w:p>
      <w:pPr>
        <w:pStyle w:val="2"/>
        <w:keepNext/>
        <w:keepLines/>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县级财政年初预算安排我局文化旅游体育与传媒支出269.9万元。</w:t>
      </w:r>
    </w:p>
    <w:p>
      <w:pPr>
        <w:pageBreakBefore w:val="0"/>
        <w:widowControl w:val="0"/>
        <w:numPr>
          <w:ilvl w:val="0"/>
          <w:numId w:val="4"/>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项目资金实际使用情况</w:t>
      </w:r>
    </w:p>
    <w:p>
      <w:pPr>
        <w:pStyle w:val="2"/>
        <w:keepNext/>
        <w:keepLines/>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2023年度江永县文化旅游事业发展专项使用经费1877.16万元，主要用于文化活动开展及申报项目、宣传非遗文化、勾蓝瑶寨4A景区提质升级。</w:t>
      </w:r>
    </w:p>
    <w:p>
      <w:pPr>
        <w:pageBreakBefore w:val="0"/>
        <w:numPr>
          <w:ilvl w:val="0"/>
          <w:numId w:val="0"/>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项目资金管理情况</w:t>
      </w:r>
    </w:p>
    <w:p>
      <w:pPr>
        <w:bidi w:val="0"/>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是项目开展按照年初计划逐步进行，绩效总目标和阶段性目标均按计划如期完成；二是专项资金使用均按照财务管理制度执行，全年做到了报账审核手续齐备，报账流程规范，财务资料完整，财务档案管理规范，无违规违纪现象发生。</w:t>
      </w:r>
    </w:p>
    <w:p>
      <w:pPr>
        <w:pageBreakBefore w:val="0"/>
        <w:numPr>
          <w:ilvl w:val="0"/>
          <w:numId w:val="5"/>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项目组织实施情况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lang w:val="en-US"/>
        </w:rPr>
      </w:pPr>
      <w:r>
        <w:rPr>
          <w:rFonts w:hint="eastAsia" w:ascii="仿宋_GB2312" w:hAnsi="仿宋_GB2312" w:eastAsia="仿宋_GB2312" w:cs="仿宋_GB2312"/>
          <w:b w:val="0"/>
          <w:bCs/>
          <w:kern w:val="2"/>
          <w:sz w:val="32"/>
          <w:szCs w:val="32"/>
          <w:lang w:val="en-US" w:eastAsia="zh-CN" w:bidi="ar-SA"/>
        </w:rPr>
        <w:t>我单位根据县委县政府及上级有关部门安排，主办或承办相关文旅活动。与各部门研讨确定活动方案，经上级部门审批同意后，开始组织实施活动，活动结束后按照财务管理制度进行结算，形成活动总结。</w:t>
      </w:r>
    </w:p>
    <w:p>
      <w:pPr>
        <w:pageBreakBefore w:val="0"/>
        <w:numPr>
          <w:ilvl w:val="0"/>
          <w:numId w:val="6"/>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项目绩效情况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全年组织、参与、开展文化惠民活动超额完成任务数，勾蓝瑶寨4A景区提质升级除文物修缮与展陈馆建设，基本已完成年初目标。文化旅游活动的开展加深了文旅融合，促进了当地旅游发展，解决了部分村民就业问题。群众满意率达95%，景区居民满意率达95%。</w:t>
      </w:r>
    </w:p>
    <w:p>
      <w:pPr>
        <w:pageBreakBefore w:val="0"/>
        <w:numPr>
          <w:ilvl w:val="0"/>
          <w:numId w:val="6"/>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其他需要说明的问题</w:t>
      </w:r>
    </w:p>
    <w:p>
      <w:pPr>
        <w:pageBreakBefore w:val="0"/>
        <w:kinsoku/>
        <w:wordWrap/>
        <w:overflowPunct/>
        <w:topLinePunct w:val="0"/>
        <w:autoSpaceDE/>
        <w:autoSpaceDN/>
        <w:bidi w:val="0"/>
        <w:adjustRightInd/>
        <w:snapToGrid/>
        <w:spacing w:line="540" w:lineRule="exact"/>
        <w:textAlignment w:val="auto"/>
        <w:rPr>
          <w:rFonts w:hint="eastAsia" w:eastAsia="宋体"/>
          <w:sz w:val="32"/>
          <w:szCs w:val="32"/>
          <w:lang w:val="en-US" w:eastAsia="zh-CN"/>
        </w:rPr>
      </w:pPr>
      <w:r>
        <w:rPr>
          <w:rFonts w:hint="eastAsia"/>
          <w:sz w:val="32"/>
          <w:szCs w:val="32"/>
        </w:rPr>
        <w:t xml:space="preserve">  </w:t>
      </w:r>
      <w:r>
        <w:rPr>
          <w:rFonts w:hint="eastAsia" w:ascii="仿宋_GB2312" w:hAnsi="仿宋_GB2312" w:eastAsia="仿宋_GB2312" w:cs="仿宋_GB2312"/>
          <w:b w:val="0"/>
          <w:bCs/>
          <w:kern w:val="2"/>
          <w:sz w:val="32"/>
          <w:szCs w:val="32"/>
          <w:lang w:val="en-US" w:eastAsia="zh-CN" w:bidi="ar-SA"/>
        </w:rPr>
        <w:t>无</w:t>
      </w:r>
    </w:p>
    <w:p>
      <w:pPr>
        <w:spacing w:line="360" w:lineRule="auto"/>
        <w:rPr>
          <w:rFonts w:hint="eastAsia"/>
          <w:sz w:val="32"/>
          <w:szCs w:val="32"/>
        </w:rPr>
      </w:pPr>
    </w:p>
    <w:p/>
    <w:p>
      <w:pPr>
        <w:rPr>
          <w:rFonts w:ascii="仿宋_GB2312" w:hAnsi="仿宋"/>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lang w:val="en-US" w:eastAsia="zh-CN"/>
        </w:rPr>
        <w:t>文化旅游事业发展</w:t>
      </w:r>
      <w:r>
        <w:rPr>
          <w:rFonts w:ascii="方正小标宋_GBK" w:hAnsi="方正小标宋_GBK" w:eastAsia="方正小标宋_GBK"/>
          <w:w w:val="98"/>
          <w:kern w:val="0"/>
          <w:sz w:val="44"/>
          <w:szCs w:val="44"/>
        </w:rPr>
        <w:t>专项资金绩效评价表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92</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both"/>
        <w:rPr>
          <w:rFonts w:eastAsia="方正小标宋_GBK"/>
          <w:color w:val="000000"/>
          <w:kern w:val="0"/>
          <w:sz w:val="36"/>
          <w:szCs w:val="36"/>
        </w:rPr>
      </w:pP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文物事业发展专项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269.9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1032.87</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1032.87</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both"/>
              <w:rPr>
                <w:rFonts w:eastAsia="仿宋_GB2312"/>
                <w:color w:val="000000"/>
                <w:kern w:val="0"/>
                <w:szCs w:val="21"/>
              </w:rPr>
            </w:pPr>
            <w:r>
              <w:rPr>
                <w:rFonts w:hint="eastAsia" w:eastAsia="仿宋_GB2312"/>
                <w:color w:val="000000"/>
                <w:kern w:val="0"/>
                <w:szCs w:val="21"/>
                <w:lang w:val="en-US" w:eastAsia="zh-CN"/>
              </w:rPr>
              <w:t>完成桐口门楼、鸣凤祠、鸣凤阁修缮工程的设计方案和施工；完成兰溪瑶寨古建筑群修缮（二期）工程；完成勾蓝瑶寨保护修缮二期工程；完成勾蓝瑶寨消防工程</w:t>
            </w:r>
            <w:r>
              <w:rPr>
                <w:rFonts w:eastAsia="仿宋_GB2312"/>
                <w:color w:val="000000"/>
                <w:kern w:val="0"/>
                <w:szCs w:val="21"/>
              </w:rPr>
              <w:t>　　</w:t>
            </w:r>
          </w:p>
        </w:tc>
        <w:tc>
          <w:tcPr>
            <w:tcW w:w="4253" w:type="dxa"/>
            <w:gridSpan w:val="4"/>
            <w:noWrap w:val="0"/>
            <w:vAlign w:val="center"/>
          </w:tcPr>
          <w:p>
            <w:pPr>
              <w:widowControl/>
              <w:jc w:val="left"/>
              <w:rPr>
                <w:rFonts w:hint="default" w:eastAsia="仿宋_GB2312"/>
                <w:color w:val="000000"/>
                <w:kern w:val="0"/>
                <w:szCs w:val="21"/>
                <w:lang w:val="en-US"/>
              </w:rPr>
            </w:pPr>
            <w:r>
              <w:rPr>
                <w:rFonts w:eastAsia="仿宋_GB2312"/>
                <w:color w:val="000000"/>
                <w:kern w:val="0"/>
                <w:szCs w:val="21"/>
              </w:rPr>
              <w:t>　</w:t>
            </w:r>
            <w:r>
              <w:rPr>
                <w:rFonts w:hint="eastAsia" w:eastAsia="仿宋_GB2312"/>
                <w:color w:val="000000"/>
                <w:kern w:val="0"/>
                <w:szCs w:val="21"/>
                <w:lang w:val="en-US" w:eastAsia="zh-CN"/>
              </w:rPr>
              <w:t>已完成桐口门楼、鸣凤祠、鸣凤阁修缮工程的设计方案和施工、兰溪瑶寨古建筑群修缮（二期）工程；勾蓝瑶寨保护修缮二期工程还在施工中；勾蓝瑶寨消防工程正在进行招投标</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桐口门楼、鸣凤祠、鸣凤阁修缮工程</w:t>
            </w:r>
            <w:r>
              <w:rPr>
                <w:rFonts w:hint="eastAsia" w:ascii="Times New Roman" w:hAnsi="Times New Roman" w:eastAsia="仿宋_GB2312"/>
                <w:color w:val="000000"/>
                <w:sz w:val="20"/>
                <w:szCs w:val="20"/>
                <w:lang w:val="en-US" w:eastAsia="zh-CN"/>
              </w:rPr>
              <w:t>3处</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兰溪瑶寨古建筑群修缮工程（二期）</w:t>
            </w:r>
            <w:r>
              <w:rPr>
                <w:rFonts w:hint="eastAsia" w:eastAsia="仿宋_GB2312"/>
                <w:color w:val="000000"/>
                <w:kern w:val="0"/>
                <w:szCs w:val="21"/>
                <w:lang w:val="en-US" w:eastAsia="zh-CN"/>
              </w:rPr>
              <w:t>11处</w:t>
            </w:r>
          </w:p>
        </w:tc>
        <w:tc>
          <w:tcPr>
            <w:tcW w:w="1209" w:type="dxa"/>
            <w:noWrap w:val="0"/>
            <w:vAlign w:val="center"/>
          </w:tcPr>
          <w:p>
            <w:pPr>
              <w:widowControl/>
              <w:jc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100%</w:t>
            </w:r>
          </w:p>
        </w:tc>
        <w:tc>
          <w:tcPr>
            <w:tcW w:w="1134" w:type="dxa"/>
            <w:noWrap w:val="0"/>
            <w:vAlign w:val="center"/>
          </w:tcPr>
          <w:p>
            <w:pPr>
              <w:widowControl/>
              <w:jc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100%</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勾蓝瑶寨保护修缮二期工程</w:t>
            </w:r>
            <w:r>
              <w:rPr>
                <w:rFonts w:hint="eastAsia" w:eastAsia="仿宋_GB2312"/>
                <w:color w:val="000000"/>
                <w:kern w:val="0"/>
                <w:szCs w:val="21"/>
                <w:lang w:val="en-US" w:eastAsia="zh-CN"/>
              </w:rPr>
              <w:t>10处</w:t>
            </w: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s="Times New Roman"/>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70%</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1418"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目前正在施工中，</w:t>
            </w:r>
            <w:r>
              <w:rPr>
                <w:rFonts w:hint="eastAsia" w:eastAsia="仿宋_GB2312"/>
                <w:color w:val="000000"/>
                <w:kern w:val="0"/>
                <w:szCs w:val="21"/>
                <w:lang w:val="en-US" w:eastAsia="zh-CN"/>
              </w:rPr>
              <w:t>2024年加快施工进度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勾蓝瑶消防工程</w:t>
            </w:r>
            <w:r>
              <w:rPr>
                <w:rFonts w:hint="eastAsia" w:eastAsia="仿宋_GB2312"/>
                <w:color w:val="000000"/>
                <w:kern w:val="0"/>
                <w:szCs w:val="21"/>
                <w:lang w:val="en-US" w:eastAsia="zh-CN"/>
              </w:rPr>
              <w:t>31处</w:t>
            </w: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0%</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正在进行招投标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文物工程</w:t>
            </w: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高质量完成</w:t>
            </w:r>
          </w:p>
        </w:tc>
        <w:tc>
          <w:tcPr>
            <w:tcW w:w="1134"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完成部分工程</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c>
          <w:tcPr>
            <w:tcW w:w="141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勾蓝瑶寨保护修缮工程及消防工程未完工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完成时间</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2023年</w:t>
            </w:r>
          </w:p>
        </w:tc>
        <w:tc>
          <w:tcPr>
            <w:tcW w:w="1134" w:type="dxa"/>
            <w:noWrap w:val="0"/>
            <w:vAlign w:val="center"/>
          </w:tcPr>
          <w:p>
            <w:pPr>
              <w:widowControl/>
              <w:jc w:val="both"/>
              <w:rPr>
                <w:rFonts w:hint="eastAsia" w:eastAsia="仿宋_GB2312"/>
                <w:color w:val="000000"/>
                <w:kern w:val="0"/>
                <w:szCs w:val="21"/>
                <w:lang w:val="en-US" w:eastAsia="zh-CN"/>
              </w:rPr>
            </w:pPr>
            <w:r>
              <w:rPr>
                <w:rFonts w:hint="eastAsia" w:eastAsia="仿宋_GB2312"/>
                <w:color w:val="000000"/>
                <w:kern w:val="0"/>
                <w:szCs w:val="21"/>
                <w:lang w:val="en-US" w:eastAsia="zh-CN"/>
              </w:rPr>
              <w:t>已完成桐口门楼、鸣凤祠、鸣凤阁修缮工程的设计方案和施工、兰溪瑶寨古建筑群修缮（二期）工程</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c>
          <w:tcPr>
            <w:tcW w:w="1418"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勾蓝瑶寨保护修缮工程及消防工程未完工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项目资金</w:t>
            </w:r>
          </w:p>
        </w:tc>
        <w:tc>
          <w:tcPr>
            <w:tcW w:w="1209" w:type="dxa"/>
            <w:noWrap w:val="0"/>
            <w:vAlign w:val="center"/>
          </w:tcPr>
          <w:p>
            <w:pPr>
              <w:widowControl/>
              <w:ind w:firstLine="210" w:firstLineChars="100"/>
              <w:jc w:val="both"/>
              <w:rPr>
                <w:rFonts w:hint="eastAsia" w:eastAsia="仿宋_GB2312"/>
                <w:color w:val="000000"/>
                <w:kern w:val="0"/>
                <w:szCs w:val="21"/>
                <w:lang w:val="en-US" w:eastAsia="zh-CN"/>
              </w:rPr>
            </w:pPr>
            <w:r>
              <w:rPr>
                <w:rFonts w:hint="eastAsia" w:eastAsia="仿宋_GB2312"/>
                <w:color w:val="000000"/>
                <w:kern w:val="0"/>
                <w:szCs w:val="21"/>
                <w:lang w:val="en-US" w:eastAsia="zh-CN"/>
              </w:rPr>
              <w:t>1032.87</w:t>
            </w:r>
          </w:p>
          <w:p>
            <w:pPr>
              <w:widowControl/>
              <w:jc w:val="both"/>
              <w:rPr>
                <w:rFonts w:hint="default" w:eastAsia="仿宋_GB2312"/>
                <w:color w:val="000000"/>
                <w:kern w:val="0"/>
                <w:szCs w:val="21"/>
                <w:lang w:val="en-US" w:eastAsia="zh-CN"/>
              </w:rPr>
            </w:pPr>
            <w:r>
              <w:rPr>
                <w:rFonts w:hint="eastAsia" w:eastAsia="仿宋_GB2312"/>
                <w:color w:val="000000"/>
                <w:kern w:val="0"/>
                <w:szCs w:val="21"/>
                <w:lang w:val="en-US" w:eastAsia="zh-CN"/>
              </w:rPr>
              <w:t>万元</w:t>
            </w:r>
          </w:p>
        </w:tc>
        <w:tc>
          <w:tcPr>
            <w:tcW w:w="1134" w:type="dxa"/>
            <w:noWrap w:val="0"/>
            <w:vAlign w:val="center"/>
          </w:tcPr>
          <w:p>
            <w:pPr>
              <w:widowControl/>
              <w:jc w:val="both"/>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1032.87</w:t>
            </w:r>
          </w:p>
          <w:p>
            <w:pPr>
              <w:widowControl/>
              <w:jc w:val="left"/>
              <w:rPr>
                <w:rFonts w:eastAsia="仿宋_GB2312"/>
                <w:color w:val="000000"/>
                <w:kern w:val="0"/>
                <w:szCs w:val="21"/>
              </w:rPr>
            </w:pPr>
            <w:r>
              <w:rPr>
                <w:rFonts w:hint="eastAsia" w:eastAsia="仿宋_GB2312"/>
                <w:color w:val="000000"/>
                <w:kern w:val="0"/>
                <w:szCs w:val="21"/>
                <w:lang w:val="en-US" w:eastAsia="zh-CN"/>
              </w:rPr>
              <w:t>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促进当地旅游经济发展</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有所促进</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有所促进</w:t>
            </w: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文物本体</w:t>
            </w:r>
            <w:r>
              <w:rPr>
                <w:rFonts w:hint="eastAsia" w:eastAsia="仿宋_GB2312"/>
                <w:color w:val="000000"/>
                <w:kern w:val="0"/>
                <w:szCs w:val="21"/>
                <w:lang w:val="en-US" w:eastAsia="zh-CN"/>
              </w:rPr>
              <w:t>得到保护</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得到保护</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得到保护</w:t>
            </w: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本地自然人文生态</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得到优化</w:t>
            </w: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有所优化</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人民群众文化遗产保护意识</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得到提高</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有所提高</w:t>
            </w:r>
            <w:r>
              <w:rPr>
                <w:rFonts w:eastAsia="仿宋_GB2312"/>
                <w:color w:val="000000"/>
                <w:kern w:val="0"/>
                <w:szCs w:val="21"/>
              </w:rPr>
              <w:t>　</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当地居民满意度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92</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eastAsia="黑体"/>
          <w:sz w:val="32"/>
          <w:szCs w:val="32"/>
        </w:rPr>
      </w:pPr>
      <w:r>
        <w:rPr>
          <w:rFonts w:eastAsia="黑体"/>
          <w:sz w:val="32"/>
          <w:szCs w:val="32"/>
        </w:rPr>
        <w:br w:type="page"/>
      </w:r>
    </w:p>
    <w:p>
      <w:pPr>
        <w:jc w:val="center"/>
        <w:rPr>
          <w:rFonts w:hint="eastAsia" w:ascii="宋体" w:hAnsi="宋体" w:cs="Arial"/>
          <w:b/>
          <w:bCs/>
          <w:color w:val="auto"/>
          <w:sz w:val="44"/>
          <w:szCs w:val="44"/>
          <w:lang w:val="en-US" w:eastAsia="zh-CN"/>
        </w:rPr>
      </w:pPr>
      <w:r>
        <w:rPr>
          <w:rFonts w:hint="eastAsia" w:ascii="宋体" w:hAnsi="宋体" w:cs="Arial"/>
          <w:b/>
          <w:bCs/>
          <w:color w:val="auto"/>
          <w:sz w:val="44"/>
          <w:szCs w:val="44"/>
          <w:lang w:val="en-US" w:eastAsia="zh-CN"/>
        </w:rPr>
        <w:t>文物事业发展专项</w:t>
      </w:r>
    </w:p>
    <w:p>
      <w:pPr>
        <w:jc w:val="center"/>
        <w:rPr>
          <w:rFonts w:hint="eastAsia" w:ascii="宋体" w:hAnsi="宋体"/>
          <w:b/>
          <w:bCs/>
          <w:sz w:val="44"/>
          <w:szCs w:val="44"/>
        </w:rPr>
      </w:pPr>
      <w:r>
        <w:rPr>
          <w:rFonts w:hint="eastAsia" w:ascii="宋体" w:hAnsi="宋体" w:cs="Arial"/>
          <w:b/>
          <w:bCs/>
          <w:color w:val="auto"/>
          <w:sz w:val="44"/>
          <w:szCs w:val="44"/>
        </w:rPr>
        <w:t>202</w:t>
      </w:r>
      <w:r>
        <w:rPr>
          <w:rFonts w:hint="eastAsia" w:ascii="宋体" w:hAnsi="宋体" w:cs="Arial"/>
          <w:b/>
          <w:bCs/>
          <w:color w:val="auto"/>
          <w:sz w:val="44"/>
          <w:szCs w:val="44"/>
          <w:lang w:val="en-US" w:eastAsia="zh-CN"/>
        </w:rPr>
        <w:t>3</w:t>
      </w:r>
      <w:r>
        <w:rPr>
          <w:rFonts w:hint="eastAsia" w:ascii="宋体" w:hAnsi="宋体"/>
          <w:b/>
          <w:bCs/>
          <w:sz w:val="44"/>
          <w:szCs w:val="44"/>
        </w:rPr>
        <w:t>年度绩效自评报告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ascii="仿宋_GB2312" w:hAnsi="新宋体"/>
          <w:spacing w:val="-4"/>
          <w:sz w:val="32"/>
          <w:szCs w:val="32"/>
          <w:lang w:val="en-US" w:eastAsia="zh-CN"/>
        </w:rPr>
        <w:t>一、</w:t>
      </w:r>
      <w:r>
        <w:rPr>
          <w:rFonts w:hint="eastAsia" w:ascii="仿宋_GB2312" w:hAnsi="新宋体"/>
          <w:spacing w:val="-4"/>
          <w:sz w:val="32"/>
          <w:szCs w:val="32"/>
        </w:rPr>
        <w:t xml:space="preserve"> </w:t>
      </w:r>
      <w:r>
        <w:rPr>
          <w:rFonts w:hint="eastAsia"/>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项目基本情况简介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文物事业发展专项资金主要包括县级文物专项工作经费及国保省保修缮工程、消防工程。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二、</w:t>
      </w:r>
      <w:r>
        <w:rPr>
          <w:rFonts w:hint="eastAsia"/>
          <w:sz w:val="32"/>
          <w:szCs w:val="32"/>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Times New Roman"/>
          <w:sz w:val="32"/>
          <w:szCs w:val="32"/>
          <w:lang w:val="en-US" w:eastAsia="zh-CN"/>
        </w:rPr>
      </w:pPr>
      <w:r>
        <w:rPr>
          <w:rFonts w:hint="eastAsia" w:eastAsia="宋体" w:cs="Times New Roman"/>
          <w:sz w:val="32"/>
          <w:szCs w:val="32"/>
          <w:lang w:val="en-US" w:eastAsia="zh-CN"/>
        </w:rPr>
        <w:t>（一）项目安排资金情况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县级财政年初预算安排我局文化旅游体育与传媒支出269.9万元。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项目资金实际使用情况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县级文物专项工作经费使用37.5万元，文物保修缮工程、消防工程等共计使用995.37万元。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项目资金管理情况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w:t>
      </w:r>
      <w:r>
        <w:rPr>
          <w:rFonts w:hint="eastAsia" w:ascii="仿宋_GB2312" w:eastAsia="仿宋_GB2312"/>
          <w:sz w:val="32"/>
          <w:szCs w:val="32"/>
          <w:lang w:val="en-US" w:eastAsia="zh-CN"/>
        </w:rPr>
        <w:t>资金</w:t>
      </w:r>
      <w:r>
        <w:rPr>
          <w:rFonts w:hint="eastAsia" w:ascii="仿宋_GB2312" w:eastAsia="仿宋_GB2312"/>
          <w:sz w:val="32"/>
          <w:szCs w:val="32"/>
        </w:rPr>
        <w:t>管理规范</w:t>
      </w:r>
      <w:r>
        <w:rPr>
          <w:rFonts w:hint="eastAsia" w:ascii="仿宋_GB2312" w:eastAsia="仿宋_GB2312"/>
          <w:sz w:val="32"/>
          <w:szCs w:val="32"/>
          <w:lang w:eastAsia="zh-CN"/>
        </w:rPr>
        <w:t>，</w:t>
      </w:r>
      <w:r>
        <w:rPr>
          <w:rFonts w:hint="eastAsia" w:ascii="仿宋_GB2312" w:eastAsia="仿宋_GB2312"/>
          <w:sz w:val="32"/>
          <w:szCs w:val="32"/>
        </w:rPr>
        <w:t>资金通过</w:t>
      </w:r>
      <w:r>
        <w:rPr>
          <w:rFonts w:hint="eastAsia" w:ascii="仿宋_GB2312" w:eastAsia="仿宋_GB2312"/>
          <w:sz w:val="32"/>
          <w:szCs w:val="32"/>
          <w:lang w:eastAsia="zh-CN"/>
        </w:rPr>
        <w:t>预算</w:t>
      </w:r>
      <w:r>
        <w:rPr>
          <w:rFonts w:hint="eastAsia" w:ascii="仿宋_GB2312" w:eastAsia="仿宋_GB2312"/>
          <w:sz w:val="32"/>
          <w:szCs w:val="32"/>
        </w:rPr>
        <w:t>评审</w:t>
      </w:r>
      <w:r>
        <w:rPr>
          <w:rFonts w:hint="eastAsia" w:ascii="仿宋_GB2312" w:eastAsia="仿宋_GB2312"/>
          <w:sz w:val="32"/>
          <w:szCs w:val="32"/>
          <w:lang w:eastAsia="zh-CN"/>
        </w:rPr>
        <w:t>。</w:t>
      </w:r>
      <w:r>
        <w:rPr>
          <w:rFonts w:hint="eastAsia" w:ascii="仿宋_GB2312" w:eastAsia="仿宋_GB2312"/>
          <w:sz w:val="32"/>
          <w:szCs w:val="32"/>
        </w:rPr>
        <w:t>我局在使用文物专项资金过程中，严格按照</w:t>
      </w:r>
      <w:r>
        <w:rPr>
          <w:rFonts w:hint="eastAsia" w:ascii="仿宋_GB2312" w:eastAsia="仿宋_GB2312"/>
          <w:sz w:val="32"/>
          <w:szCs w:val="32"/>
          <w:lang w:eastAsia="zh-CN"/>
        </w:rPr>
        <w:t>省市专项资金管理和使用的相关</w:t>
      </w:r>
      <w:r>
        <w:rPr>
          <w:rFonts w:hint="eastAsia" w:ascii="仿宋_GB2312" w:eastAsia="仿宋_GB2312"/>
          <w:sz w:val="32"/>
          <w:szCs w:val="32"/>
        </w:rPr>
        <w:t>文件要求，严格管理、使用文物保护资金，做到专款专用。一是资金使用时财政部门加强监管，相关股室、分管领导先行审核；二是需县委、县政府分管领导、政府主要领导审批；三是工程完工、验收之后</w:t>
      </w:r>
      <w:r>
        <w:rPr>
          <w:rFonts w:hint="eastAsia" w:ascii="仿宋_GB2312" w:eastAsia="仿宋_GB2312"/>
          <w:sz w:val="32"/>
          <w:szCs w:val="32"/>
          <w:lang w:val="en-US" w:eastAsia="zh-CN"/>
        </w:rPr>
        <w:t>将</w:t>
      </w:r>
      <w:r>
        <w:rPr>
          <w:rFonts w:hint="eastAsia" w:ascii="仿宋_GB2312" w:eastAsia="仿宋_GB2312"/>
          <w:sz w:val="32"/>
          <w:szCs w:val="32"/>
        </w:rPr>
        <w:t>由</w:t>
      </w:r>
      <w:r>
        <w:rPr>
          <w:rFonts w:hint="eastAsia" w:ascii="仿宋_GB2312" w:eastAsia="仿宋_GB2312"/>
          <w:sz w:val="32"/>
          <w:szCs w:val="32"/>
          <w:lang w:eastAsia="zh-CN"/>
        </w:rPr>
        <w:t>财政</w:t>
      </w:r>
      <w:r>
        <w:rPr>
          <w:rFonts w:hint="eastAsia" w:ascii="仿宋_GB2312" w:eastAsia="仿宋_GB2312"/>
          <w:sz w:val="32"/>
          <w:szCs w:val="32"/>
        </w:rPr>
        <w:t>部门进行</w:t>
      </w:r>
      <w:r>
        <w:rPr>
          <w:rFonts w:hint="eastAsia" w:ascii="仿宋_GB2312" w:eastAsia="仿宋_GB2312"/>
          <w:sz w:val="32"/>
          <w:szCs w:val="32"/>
          <w:lang w:eastAsia="zh-CN"/>
        </w:rPr>
        <w:t>决算</w:t>
      </w:r>
      <w:r>
        <w:rPr>
          <w:rFonts w:hint="eastAsia" w:ascii="仿宋_GB2312" w:eastAsia="仿宋_GB2312"/>
          <w:sz w:val="32"/>
          <w:szCs w:val="32"/>
        </w:rPr>
        <w:t>；四是</w:t>
      </w:r>
      <w:r>
        <w:rPr>
          <w:rFonts w:hint="eastAsia" w:ascii="仿宋_GB2312" w:eastAsia="仿宋_GB2312"/>
          <w:sz w:val="32"/>
          <w:szCs w:val="32"/>
          <w:lang w:val="en-US" w:eastAsia="zh-CN"/>
        </w:rPr>
        <w:t>将</w:t>
      </w:r>
      <w:r>
        <w:rPr>
          <w:rFonts w:hint="eastAsia" w:ascii="仿宋_GB2312" w:eastAsia="仿宋_GB2312"/>
          <w:sz w:val="32"/>
          <w:szCs w:val="32"/>
        </w:rPr>
        <w:t>由纪检部门</w:t>
      </w:r>
      <w:r>
        <w:rPr>
          <w:rFonts w:hint="eastAsia" w:ascii="仿宋_GB2312" w:eastAsia="仿宋_GB2312"/>
          <w:sz w:val="32"/>
          <w:szCs w:val="32"/>
          <w:lang w:eastAsia="zh-CN"/>
        </w:rPr>
        <w:t>对</w:t>
      </w:r>
      <w:r>
        <w:rPr>
          <w:rFonts w:hint="eastAsia" w:ascii="仿宋_GB2312" w:eastAsia="仿宋_GB2312"/>
          <w:sz w:val="32"/>
          <w:szCs w:val="32"/>
        </w:rPr>
        <w:t>招投标、资金使用等情况进行检查。确保资金专款专用，同时确保资金使用的效益，使资金管理规范化、程序化。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三、</w:t>
      </w:r>
      <w:r>
        <w:rPr>
          <w:rFonts w:hint="eastAsia"/>
          <w:sz w:val="32"/>
          <w:szCs w:val="32"/>
        </w:rPr>
        <w:t>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我局根据上级要求，</w:t>
      </w:r>
      <w:r>
        <w:rPr>
          <w:rFonts w:hint="eastAsia" w:ascii="仿宋_GB2312" w:eastAsia="仿宋_GB2312" w:cs="Times New Roman"/>
          <w:sz w:val="32"/>
          <w:szCs w:val="32"/>
        </w:rPr>
        <w:t>编制文物保护项目计划书并上报</w:t>
      </w:r>
      <w:r>
        <w:rPr>
          <w:rFonts w:hint="eastAsia" w:ascii="仿宋_GB2312" w:eastAsia="仿宋_GB2312" w:cs="Times New Roman"/>
          <w:sz w:val="32"/>
          <w:szCs w:val="32"/>
          <w:lang w:eastAsia="zh-CN"/>
        </w:rPr>
        <w:t>，根据批复意见修改补充完善保护方案，</w:t>
      </w:r>
      <w:r>
        <w:rPr>
          <w:rFonts w:hint="eastAsia" w:ascii="仿宋_GB2312" w:eastAsia="仿宋_GB2312" w:cs="Times New Roman"/>
          <w:sz w:val="32"/>
          <w:szCs w:val="32"/>
          <w:lang w:val="en-US" w:eastAsia="zh-CN"/>
        </w:rPr>
        <w:t>做好项目预算编制、预算评审、财政投资评审，申请文物保护专项资金。项目补助经费拨付到位后进行招投标，后进行施工，施工完成后组织竣工验收。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四、</w:t>
      </w:r>
      <w:r>
        <w:rPr>
          <w:rFonts w:hint="eastAsia"/>
          <w:sz w:val="32"/>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通过对</w:t>
      </w:r>
      <w:r>
        <w:rPr>
          <w:rFonts w:hint="eastAsia" w:ascii="仿宋_GB2312" w:eastAsia="仿宋_GB2312" w:cs="Times New Roman"/>
          <w:sz w:val="32"/>
          <w:szCs w:val="32"/>
          <w:lang w:val="en-US" w:eastAsia="zh-CN"/>
        </w:rPr>
        <w:t>文物</w:t>
      </w:r>
      <w:r>
        <w:rPr>
          <w:rFonts w:hint="eastAsia" w:ascii="仿宋_GB2312" w:eastAsia="仿宋_GB2312" w:cs="Times New Roman"/>
          <w:sz w:val="32"/>
          <w:szCs w:val="32"/>
          <w:lang w:eastAsia="zh-CN"/>
        </w:rPr>
        <w:t>保护修缮</w:t>
      </w:r>
      <w:r>
        <w:rPr>
          <w:rFonts w:hint="eastAsia" w:ascii="仿宋_GB2312" w:eastAsia="仿宋_GB2312" w:cs="Times New Roman"/>
          <w:sz w:val="32"/>
          <w:szCs w:val="32"/>
          <w:lang w:val="en-US" w:eastAsia="zh-CN"/>
        </w:rPr>
        <w:t>工程、消防工程的</w:t>
      </w:r>
      <w:r>
        <w:rPr>
          <w:rFonts w:hint="eastAsia" w:ascii="仿宋_GB2312" w:eastAsia="仿宋_GB2312" w:cs="Times New Roman"/>
          <w:sz w:val="32"/>
          <w:szCs w:val="32"/>
          <w:lang w:eastAsia="zh-CN"/>
        </w:rPr>
        <w:t>实施，避免</w:t>
      </w:r>
      <w:r>
        <w:rPr>
          <w:rFonts w:hint="eastAsia" w:ascii="仿宋_GB2312" w:eastAsia="仿宋_GB2312" w:cs="Times New Roman"/>
          <w:sz w:val="32"/>
          <w:szCs w:val="32"/>
          <w:lang w:val="en-US" w:eastAsia="zh-CN"/>
        </w:rPr>
        <w:t>文物的</w:t>
      </w:r>
      <w:r>
        <w:rPr>
          <w:rFonts w:hint="eastAsia" w:ascii="仿宋_GB2312" w:eastAsia="仿宋_GB2312" w:cs="Times New Roman"/>
          <w:sz w:val="32"/>
          <w:szCs w:val="32"/>
          <w:lang w:eastAsia="zh-CN"/>
        </w:rPr>
        <w:t>持续破损，提升旅游竞争力。</w:t>
      </w:r>
      <w:r>
        <w:rPr>
          <w:rFonts w:hint="eastAsia" w:ascii="仿宋_GB2312" w:eastAsia="仿宋_GB2312" w:cs="Times New Roman"/>
          <w:sz w:val="32"/>
          <w:szCs w:val="32"/>
          <w:lang w:val="en-US" w:eastAsia="zh-CN"/>
        </w:rPr>
        <w:t>同时给当地村民</w:t>
      </w:r>
      <w:r>
        <w:rPr>
          <w:rFonts w:hint="eastAsia" w:ascii="仿宋_GB2312" w:eastAsia="仿宋_GB2312" w:cs="Times New Roman"/>
          <w:sz w:val="32"/>
          <w:szCs w:val="32"/>
          <w:lang w:eastAsia="zh-CN"/>
        </w:rPr>
        <w:t>提供就业岗位，带动旅游等经济发展，</w:t>
      </w:r>
      <w:r>
        <w:rPr>
          <w:rFonts w:hint="eastAsia" w:ascii="仿宋_GB2312" w:eastAsia="仿宋_GB2312" w:cs="Times New Roman"/>
          <w:sz w:val="32"/>
          <w:szCs w:val="32"/>
          <w:lang w:val="en-US" w:eastAsia="zh-CN"/>
        </w:rPr>
        <w:t>为</w:t>
      </w:r>
      <w:r>
        <w:rPr>
          <w:rFonts w:hint="eastAsia" w:ascii="仿宋_GB2312" w:eastAsia="仿宋_GB2312" w:cs="Times New Roman"/>
          <w:sz w:val="32"/>
          <w:szCs w:val="32"/>
          <w:lang w:eastAsia="zh-CN"/>
        </w:rPr>
        <w:t>当地政府居民收入增加；</w:t>
      </w:r>
      <w:r>
        <w:rPr>
          <w:rFonts w:hint="eastAsia" w:ascii="仿宋_GB2312" w:eastAsia="仿宋_GB2312" w:cs="Times New Roman"/>
          <w:sz w:val="32"/>
          <w:szCs w:val="32"/>
          <w:lang w:val="en-US" w:eastAsia="zh-CN"/>
        </w:rPr>
        <w:t>也</w:t>
      </w:r>
      <w:r>
        <w:rPr>
          <w:rFonts w:hint="eastAsia" w:ascii="仿宋_GB2312" w:eastAsia="仿宋_GB2312" w:cs="Times New Roman"/>
          <w:sz w:val="32"/>
          <w:szCs w:val="32"/>
          <w:lang w:eastAsia="zh-CN"/>
        </w:rPr>
        <w:t>进一步保护了珍贵文化遗产，提高人民群众文化遗产保护的意识，继而加大对古村保护。当地居民对保护工程满意度达到9</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lang w:eastAsia="zh-CN"/>
        </w:rPr>
        <w:t>%。</w:t>
      </w:r>
    </w:p>
    <w:p>
      <w:pPr>
        <w:numPr>
          <w:ilvl w:val="0"/>
          <w:numId w:val="0"/>
        </w:numPr>
        <w:spacing w:line="360" w:lineRule="auto"/>
        <w:rPr>
          <w:rFonts w:hint="eastAsia"/>
          <w:sz w:val="32"/>
          <w:szCs w:val="32"/>
        </w:rPr>
      </w:pPr>
      <w:r>
        <w:rPr>
          <w:rFonts w:hint="eastAsia"/>
          <w:sz w:val="32"/>
          <w:szCs w:val="32"/>
          <w:lang w:val="en-US" w:eastAsia="zh-CN"/>
        </w:rPr>
        <w:t>五、</w:t>
      </w:r>
      <w:r>
        <w:rPr>
          <w:rFonts w:hint="eastAsia"/>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无</w:t>
      </w:r>
    </w:p>
    <w:p>
      <w:pPr>
        <w:spacing w:line="520" w:lineRule="exact"/>
        <w:ind w:firstLine="640" w:firstLineChars="200"/>
        <w:rPr>
          <w:rFonts w:hint="eastAsia" w:ascii="仿宋_GB2312" w:eastAsia="仿宋_GB2312"/>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lang w:val="en-US" w:eastAsia="zh-CN"/>
        </w:rPr>
        <w:t>文物事业发展</w:t>
      </w:r>
      <w:r>
        <w:rPr>
          <w:rFonts w:ascii="方正小标宋_GBK" w:hAnsi="方正小标宋_GBK" w:eastAsia="方正小标宋_GBK"/>
          <w:w w:val="98"/>
          <w:kern w:val="0"/>
          <w:sz w:val="44"/>
          <w:szCs w:val="44"/>
        </w:rPr>
        <w:t>专项资金绩效评价表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97</w:t>
            </w:r>
          </w:p>
        </w:tc>
      </w:tr>
    </w:tbl>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pPr>
    </w:p>
    <w:p>
      <w:pPr>
        <w:widowControl/>
        <w:jc w:val="left"/>
        <w:rPr>
          <w:rFonts w:eastAsia="黑体"/>
          <w:sz w:val="32"/>
          <w:szCs w:val="32"/>
        </w:rPr>
      </w:pPr>
    </w:p>
    <w:p>
      <w:pPr>
        <w:widowControl/>
        <w:jc w:val="left"/>
        <w:rPr>
          <w:rFonts w:hint="eastAsia" w:eastAsia="黑体"/>
          <w:sz w:val="32"/>
          <w:szCs w:val="32"/>
        </w:rPr>
      </w:pP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体育事业发展专项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269.9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58.6</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both"/>
              <w:rPr>
                <w:rFonts w:eastAsia="仿宋_GB2312"/>
                <w:color w:val="000000"/>
                <w:kern w:val="0"/>
                <w:szCs w:val="21"/>
              </w:rPr>
            </w:pPr>
            <w:r>
              <w:rPr>
                <w:rFonts w:hint="eastAsia" w:eastAsia="仿宋_GB2312"/>
                <w:color w:val="000000"/>
                <w:kern w:val="0"/>
                <w:szCs w:val="21"/>
              </w:rPr>
              <w:t>开展业余竞技训练工作，储备体育后备人才，组织参加省市两级青少年竞技比赛</w:t>
            </w:r>
            <w:r>
              <w:rPr>
                <w:rFonts w:hint="eastAsia" w:eastAsia="仿宋_GB2312"/>
                <w:color w:val="000000"/>
                <w:kern w:val="0"/>
                <w:szCs w:val="21"/>
                <w:lang w:eastAsia="zh-CN"/>
              </w:rPr>
              <w:t>，</w:t>
            </w:r>
            <w:r>
              <w:rPr>
                <w:rFonts w:hint="eastAsia" w:eastAsia="仿宋_GB2312"/>
                <w:color w:val="000000"/>
                <w:kern w:val="0"/>
                <w:szCs w:val="21"/>
                <w:lang w:val="en-US" w:eastAsia="zh-CN"/>
              </w:rPr>
              <w:t>建设运动员教练员宿舍楼</w:t>
            </w:r>
            <w:r>
              <w:rPr>
                <w:rFonts w:eastAsia="仿宋_GB2312"/>
                <w:color w:val="000000"/>
                <w:kern w:val="0"/>
                <w:szCs w:val="21"/>
              </w:rPr>
              <w:t>　　</w:t>
            </w:r>
          </w:p>
        </w:tc>
        <w:tc>
          <w:tcPr>
            <w:tcW w:w="4253" w:type="dxa"/>
            <w:gridSpan w:val="4"/>
            <w:noWrap w:val="0"/>
            <w:vAlign w:val="center"/>
          </w:tcPr>
          <w:p>
            <w:pPr>
              <w:widowControl/>
              <w:jc w:val="both"/>
              <w:rPr>
                <w:rFonts w:hint="default" w:eastAsia="仿宋_GB2312"/>
                <w:color w:val="000000"/>
                <w:kern w:val="0"/>
                <w:szCs w:val="21"/>
                <w:lang w:val="en-US" w:eastAsia="zh-CN"/>
              </w:rPr>
            </w:pPr>
            <w:r>
              <w:rPr>
                <w:rFonts w:hint="eastAsia" w:eastAsia="仿宋_GB2312"/>
                <w:color w:val="000000"/>
                <w:kern w:val="0"/>
                <w:szCs w:val="21"/>
              </w:rPr>
              <w:t>业余训练正常开展早、下午训练，全年训练天数300天，组织参加了省、市两级举办的青少年举重锦标比赛，获得市举重锦标赛团体总分第一</w:t>
            </w:r>
            <w:r>
              <w:rPr>
                <w:rFonts w:hint="eastAsia" w:eastAsia="仿宋_GB2312"/>
                <w:color w:val="000000"/>
                <w:kern w:val="0"/>
                <w:szCs w:val="21"/>
                <w:lang w:eastAsia="zh-CN"/>
              </w:rPr>
              <w:t>，</w:t>
            </w:r>
            <w:r>
              <w:rPr>
                <w:rFonts w:hint="eastAsia" w:eastAsia="仿宋_GB2312"/>
                <w:color w:val="000000"/>
                <w:kern w:val="0"/>
                <w:szCs w:val="21"/>
                <w:lang w:val="en-US" w:eastAsia="zh-CN"/>
              </w:rPr>
              <w:t>宿舍楼尚在建设中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训练天数</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≥280天</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300天</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每天训练次数</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每天训练时长</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≥2.5小时</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3小时</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每年参加市级比赛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每年参加省级比赛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建设宿舍楼</w:t>
            </w:r>
          </w:p>
        </w:tc>
        <w:tc>
          <w:tcPr>
            <w:tcW w:w="1209" w:type="dxa"/>
            <w:noWrap w:val="0"/>
            <w:vAlign w:val="center"/>
          </w:tcPr>
          <w:p>
            <w:pPr>
              <w:keepNext w:val="0"/>
              <w:keepLines w:val="0"/>
              <w:widowControl/>
              <w:suppressLineNumbers w:val="0"/>
              <w:jc w:val="center"/>
              <w:textAlignment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1栋</w:t>
            </w:r>
          </w:p>
        </w:tc>
        <w:tc>
          <w:tcPr>
            <w:tcW w:w="1134" w:type="dxa"/>
            <w:noWrap w:val="0"/>
            <w:vAlign w:val="center"/>
          </w:tcPr>
          <w:p>
            <w:pPr>
              <w:keepNext w:val="0"/>
              <w:keepLines w:val="0"/>
              <w:widowControl/>
              <w:suppressLineNumbers w:val="0"/>
              <w:jc w:val="center"/>
              <w:textAlignment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修建中</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1418" w:type="dxa"/>
            <w:noWrap w:val="0"/>
            <w:vAlign w:val="center"/>
          </w:tcPr>
          <w:p>
            <w:pPr>
              <w:widowControl/>
              <w:jc w:val="left"/>
              <w:rPr>
                <w:rFonts w:hint="default" w:eastAsia="仿宋_GB2312"/>
                <w:color w:val="000000"/>
                <w:kern w:val="0"/>
                <w:szCs w:val="21"/>
                <w:lang w:val="en-US"/>
              </w:rPr>
            </w:pPr>
            <w:r>
              <w:rPr>
                <w:rFonts w:eastAsia="仿宋_GB2312"/>
                <w:color w:val="000000"/>
                <w:kern w:val="0"/>
                <w:szCs w:val="21"/>
                <w:lang w:eastAsia="zh-CN"/>
              </w:rPr>
              <w:t>因</w:t>
            </w:r>
            <w:r>
              <w:rPr>
                <w:rFonts w:hint="eastAsia" w:eastAsia="仿宋_GB2312"/>
                <w:color w:val="000000"/>
                <w:kern w:val="0"/>
                <w:szCs w:val="21"/>
                <w:lang w:eastAsia="zh-CN"/>
              </w:rPr>
              <w:t>2023年12月才结束招投标，工程开始时间较晚，</w:t>
            </w:r>
            <w:r>
              <w:rPr>
                <w:rFonts w:hint="eastAsia" w:eastAsia="仿宋_GB2312"/>
                <w:color w:val="000000"/>
                <w:kern w:val="0"/>
                <w:szCs w:val="21"/>
                <w:lang w:val="en-US" w:eastAsia="zh-CN"/>
              </w:rPr>
              <w:t>争取2024年完工验收。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市青少年举重锦标赛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团体第三名</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团体第一名</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省青少年举重锦标赛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个人前八名3人次以上</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个人前八名5人次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2023年完成两次参赛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2023年12月前</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8月已完成</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项目资金</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58.6万元</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58.6万元</w:t>
            </w:r>
            <w:r>
              <w:rPr>
                <w:rFonts w:eastAsia="仿宋_GB2312"/>
                <w:color w:val="000000"/>
                <w:kern w:val="0"/>
                <w:szCs w:val="21"/>
              </w:rPr>
              <w:t>　</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储备体育后备人才</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免费培养</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免费培养</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竞技体育培养知名度</w:t>
            </w:r>
          </w:p>
        </w:tc>
        <w:tc>
          <w:tcPr>
            <w:tcW w:w="120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得到提升</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有所提升</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无</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对业余体校的发展</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提升明显</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rPr>
              <w:t>提升明显</w:t>
            </w: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对业余体校选才招生</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容易</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容易</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业余体校运动员满意度</w:t>
            </w:r>
          </w:p>
        </w:tc>
        <w:tc>
          <w:tcPr>
            <w:tcW w:w="120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≥90%</w:t>
            </w:r>
          </w:p>
        </w:tc>
        <w:tc>
          <w:tcPr>
            <w:tcW w:w="1134"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95%</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业余体校教练员满意度</w:t>
            </w:r>
          </w:p>
        </w:tc>
        <w:tc>
          <w:tcPr>
            <w:tcW w:w="120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≥90%</w:t>
            </w:r>
          </w:p>
        </w:tc>
        <w:tc>
          <w:tcPr>
            <w:tcW w:w="1134"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95%</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jc w:val="center"/>
        <w:rPr>
          <w:rFonts w:hint="eastAsia" w:ascii="宋体" w:hAnsi="宋体" w:cs="Arial"/>
          <w:b/>
          <w:bCs/>
          <w:color w:val="auto"/>
          <w:sz w:val="44"/>
          <w:szCs w:val="44"/>
          <w:lang w:val="en-US" w:eastAsia="zh-CN"/>
        </w:rPr>
      </w:pPr>
      <w:r>
        <w:rPr>
          <w:rFonts w:eastAsia="黑体"/>
          <w:sz w:val="32"/>
          <w:szCs w:val="32"/>
        </w:rPr>
        <w:br w:type="page"/>
      </w:r>
      <w:r>
        <w:rPr>
          <w:rFonts w:hint="eastAsia" w:ascii="宋体" w:hAnsi="宋体" w:eastAsia="宋体" w:cs="Arial"/>
          <w:b/>
          <w:bCs/>
          <w:color w:val="auto"/>
          <w:sz w:val="44"/>
          <w:szCs w:val="44"/>
          <w:lang w:val="en-US" w:eastAsia="zh-CN"/>
        </w:rPr>
        <w:t>体育</w:t>
      </w:r>
      <w:r>
        <w:rPr>
          <w:rFonts w:hint="eastAsia" w:ascii="宋体" w:hAnsi="宋体" w:cs="Arial"/>
          <w:b/>
          <w:bCs/>
          <w:color w:val="auto"/>
          <w:sz w:val="44"/>
          <w:szCs w:val="44"/>
          <w:lang w:val="en-US" w:eastAsia="zh-CN"/>
        </w:rPr>
        <w:t>事业发展专项</w:t>
      </w:r>
    </w:p>
    <w:p>
      <w:pPr>
        <w:jc w:val="center"/>
        <w:rPr>
          <w:rFonts w:hint="eastAsia" w:ascii="宋体" w:hAnsi="宋体"/>
          <w:b/>
          <w:bCs/>
          <w:sz w:val="44"/>
          <w:szCs w:val="44"/>
        </w:rPr>
      </w:pPr>
      <w:r>
        <w:rPr>
          <w:rFonts w:hint="eastAsia" w:ascii="宋体" w:hAnsi="宋体" w:cs="Arial"/>
          <w:b/>
          <w:bCs/>
          <w:color w:val="auto"/>
          <w:sz w:val="44"/>
          <w:szCs w:val="44"/>
        </w:rPr>
        <w:t>202</w:t>
      </w:r>
      <w:r>
        <w:rPr>
          <w:rFonts w:hint="eastAsia" w:ascii="宋体" w:hAnsi="宋体" w:cs="Arial"/>
          <w:b/>
          <w:bCs/>
          <w:color w:val="auto"/>
          <w:sz w:val="44"/>
          <w:szCs w:val="44"/>
          <w:lang w:val="en-US" w:eastAsia="zh-CN"/>
        </w:rPr>
        <w:t>3</w:t>
      </w:r>
      <w:r>
        <w:rPr>
          <w:rFonts w:hint="eastAsia" w:ascii="宋体" w:hAnsi="宋体"/>
          <w:b/>
          <w:bCs/>
          <w:sz w:val="44"/>
          <w:szCs w:val="44"/>
        </w:rPr>
        <w:t>年度绩效自评报告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ascii="仿宋_GB2312" w:hAnsi="新宋体"/>
          <w:spacing w:val="-4"/>
          <w:sz w:val="32"/>
          <w:szCs w:val="32"/>
          <w:lang w:val="en-US" w:eastAsia="zh-CN"/>
        </w:rPr>
        <w:t>一、</w:t>
      </w:r>
      <w:r>
        <w:rPr>
          <w:rFonts w:hint="eastAsia" w:ascii="仿宋_GB2312" w:hAnsi="新宋体"/>
          <w:spacing w:val="-4"/>
          <w:sz w:val="32"/>
          <w:szCs w:val="32"/>
        </w:rPr>
        <w:t xml:space="preserve"> </w:t>
      </w:r>
      <w:r>
        <w:rPr>
          <w:rFonts w:hint="eastAsia"/>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项目基本情况简介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体育事业发展专项资金主要包括</w:t>
      </w:r>
      <w:r>
        <w:rPr>
          <w:rFonts w:hint="eastAsia" w:ascii="仿宋_GB2312" w:hAnsi="仿宋_GB2312" w:eastAsia="仿宋_GB2312" w:cs="仿宋_GB2312"/>
          <w:sz w:val="32"/>
          <w:szCs w:val="32"/>
        </w:rPr>
        <w:t>体校生活补助</w:t>
      </w:r>
      <w:r>
        <w:rPr>
          <w:rFonts w:hint="eastAsia" w:ascii="仿宋_GB2312" w:hAnsi="仿宋_GB2312" w:eastAsia="仿宋_GB2312" w:cs="仿宋_GB2312"/>
          <w:sz w:val="32"/>
          <w:szCs w:val="32"/>
          <w:lang w:eastAsia="zh-CN"/>
        </w:rPr>
        <w:t>、参赛活动费</w:t>
      </w:r>
      <w:r>
        <w:rPr>
          <w:rFonts w:hint="eastAsia" w:ascii="仿宋_GB2312" w:hAnsi="仿宋_GB2312" w:eastAsia="仿宋_GB2312" w:cs="仿宋_GB2312"/>
          <w:sz w:val="32"/>
          <w:szCs w:val="32"/>
          <w:lang w:val="en-US" w:eastAsia="zh-CN"/>
        </w:rPr>
        <w:t>以及体育彩票公益金。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二、</w:t>
      </w:r>
      <w:r>
        <w:rPr>
          <w:rFonts w:hint="eastAsia"/>
          <w:sz w:val="32"/>
          <w:szCs w:val="32"/>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Times New Roman"/>
          <w:sz w:val="32"/>
          <w:szCs w:val="32"/>
          <w:lang w:val="en-US" w:eastAsia="zh-CN"/>
        </w:rPr>
      </w:pPr>
      <w:r>
        <w:rPr>
          <w:rFonts w:hint="eastAsia" w:eastAsia="宋体" w:cs="Times New Roman"/>
          <w:sz w:val="32"/>
          <w:szCs w:val="32"/>
          <w:lang w:val="en-US" w:eastAsia="zh-CN"/>
        </w:rPr>
        <w:t>（一）项目安排资金情况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县级财政年初预算安排我局文化旅游体育与传媒支出269.9万元。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项目资金实际使用情况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县级体育专项工作经费中</w:t>
      </w:r>
      <w:r>
        <w:rPr>
          <w:rFonts w:hint="eastAsia" w:ascii="仿宋_GB2312" w:hAnsi="仿宋_GB2312" w:eastAsia="仿宋_GB2312" w:cs="仿宋_GB2312"/>
          <w:sz w:val="32"/>
          <w:szCs w:val="32"/>
        </w:rPr>
        <w:t>体校生活补助</w:t>
      </w:r>
      <w:r>
        <w:rPr>
          <w:rFonts w:hint="eastAsia" w:ascii="仿宋_GB2312" w:hAnsi="仿宋_GB2312" w:eastAsia="仿宋_GB2312" w:cs="仿宋_GB2312"/>
          <w:bCs/>
          <w:sz w:val="32"/>
          <w:szCs w:val="32"/>
          <w:lang w:val="en-US" w:eastAsia="zh-CN"/>
        </w:rPr>
        <w:t>使用30.8万元，</w:t>
      </w:r>
      <w:r>
        <w:rPr>
          <w:rFonts w:hint="eastAsia" w:ascii="仿宋_GB2312" w:hAnsi="仿宋_GB2312" w:eastAsia="仿宋_GB2312" w:cs="仿宋_GB2312"/>
          <w:sz w:val="32"/>
          <w:szCs w:val="32"/>
          <w:lang w:eastAsia="zh-CN"/>
        </w:rPr>
        <w:t>参赛活动费</w:t>
      </w:r>
      <w:r>
        <w:rPr>
          <w:rFonts w:hint="eastAsia" w:ascii="仿宋_GB2312" w:hAnsi="仿宋_GB2312" w:eastAsia="仿宋_GB2312" w:cs="仿宋_GB2312"/>
          <w:bCs/>
          <w:sz w:val="32"/>
          <w:szCs w:val="32"/>
          <w:lang w:val="en-US" w:eastAsia="zh-CN"/>
        </w:rPr>
        <w:t>使用1万元，</w:t>
      </w:r>
      <w:r>
        <w:rPr>
          <w:rFonts w:hint="eastAsia" w:ascii="仿宋_GB2312" w:hAnsi="仿宋_GB2312" w:eastAsia="仿宋_GB2312" w:cs="仿宋_GB2312"/>
          <w:kern w:val="0"/>
          <w:sz w:val="32"/>
          <w:szCs w:val="32"/>
          <w:lang w:val="en-US" w:eastAsia="zh-CN" w:bidi="ar-SA"/>
        </w:rPr>
        <w:t>体育事业的彩票公益金使用22.81万元。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项目资金管理情况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专项资金使用均按照财务管理制度执行，全年做到了报账审核手续齐备，报账流程规范，财务资料完整，财务档案管理规范，无违规违纪现象发生。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三、</w:t>
      </w:r>
      <w:r>
        <w:rPr>
          <w:rFonts w:hint="eastAsia"/>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我单位对采购金额30万元以上的项目执行了招投标程序，签订了项目实施合同。体校宿舍楼建设完工后，将由我局及财政部门联合验收。对验收合格后，经班子成员会议研究，项目负责人审核、验收人员及财务人员签字后，按财务报账制度与程序及时拨付项目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宋体" w:cs="Times New Roman"/>
          <w:sz w:val="32"/>
          <w:szCs w:val="32"/>
          <w:lang w:val="en-US" w:eastAsia="zh-CN"/>
        </w:rPr>
      </w:pPr>
      <w:r>
        <w:rPr>
          <w:rFonts w:hint="eastAsia" w:eastAsia="宋体" w:cs="Times New Roman"/>
          <w:sz w:val="32"/>
          <w:szCs w:val="32"/>
          <w:lang w:val="en-US" w:eastAsia="zh-CN"/>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业余体校正常开展了早上1小时、下午1.5-2小时的业余训练，全年训练天数保证了300天训练时间。每年7至8月参加青少举重锦标赛，在市级青少举重锦标赛中获得团体总分第一，在省青少年举重锦标赛5人获得个人第二，第三，第四，第五，第八名。江永业余体校免费培养体育后备人才，既提升竞技体育知名度，又提高业余运动员竞技水平，体校招生选材率也得到提升。运动员对江永体育事业满意度达95%，教练员满意度达95%。</w:t>
      </w:r>
    </w:p>
    <w:p>
      <w:pPr>
        <w:numPr>
          <w:ilvl w:val="0"/>
          <w:numId w:val="0"/>
        </w:numPr>
        <w:spacing w:line="360" w:lineRule="auto"/>
        <w:rPr>
          <w:rFonts w:hint="eastAsia"/>
          <w:sz w:val="32"/>
          <w:szCs w:val="32"/>
        </w:rPr>
      </w:pPr>
      <w:r>
        <w:rPr>
          <w:rFonts w:hint="eastAsia"/>
          <w:sz w:val="32"/>
          <w:szCs w:val="32"/>
          <w:lang w:val="en-US" w:eastAsia="zh-CN"/>
        </w:rPr>
        <w:t>五、</w:t>
      </w:r>
      <w:r>
        <w:rPr>
          <w:rFonts w:hint="eastAsia"/>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pPr>
        <w:widowControl/>
      </w:pPr>
    </w:p>
    <w:p>
      <w:pPr>
        <w:widowControl/>
      </w:pPr>
    </w:p>
    <w:p>
      <w:pPr>
        <w:widowControl/>
      </w:pPr>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lang w:val="en-US" w:eastAsia="zh-CN"/>
        </w:rPr>
        <w:t>体育事业发展</w:t>
      </w:r>
      <w:r>
        <w:rPr>
          <w:rFonts w:ascii="方正小标宋_GBK" w:hAnsi="方正小标宋_GBK" w:eastAsia="方正小标宋_GBK"/>
          <w:w w:val="98"/>
          <w:kern w:val="0"/>
          <w:sz w:val="44"/>
          <w:szCs w:val="44"/>
        </w:rPr>
        <w:t>专项资金绩效评价表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eastAsia="zh-CN"/>
              </w:rPr>
            </w:pPr>
            <w:r>
              <w:rPr>
                <w:rFonts w:hint="default" w:ascii="宋体" w:hAnsi="宋体"/>
                <w:color w:val="000000"/>
                <w:kern w:val="0"/>
                <w:sz w:val="24"/>
                <w:lang w:eastAsia="zh-CN"/>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eastAsia="zh-CN"/>
              </w:rPr>
            </w:pPr>
            <w:r>
              <w:rPr>
                <w:rFonts w:hint="default" w:ascii="宋体" w:hAnsi="宋体"/>
                <w:color w:val="000000"/>
                <w:kern w:val="0"/>
                <w:sz w:val="24"/>
                <w:lang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lang w:eastAsia="zh-CN"/>
              </w:rPr>
            </w:pPr>
            <w:r>
              <w:rPr>
                <w:rFonts w:hint="default" w:ascii="宋体" w:hAnsi="宋体"/>
                <w:color w:val="000000"/>
                <w:kern w:val="0"/>
                <w:sz w:val="24"/>
                <w:lang w:eastAsia="zh-CN"/>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default" w:ascii="宋体" w:hAnsi="宋体" w:eastAsia="宋体"/>
                <w:color w:val="000000"/>
                <w:kern w:val="0"/>
                <w:sz w:val="24"/>
                <w:lang w:eastAsia="zh-CN"/>
              </w:rPr>
            </w:pPr>
            <w:r>
              <w:rPr>
                <w:rFonts w:hint="default" w:ascii="宋体" w:hAnsi="宋体"/>
                <w:color w:val="000000"/>
                <w:kern w:val="0"/>
                <w:sz w:val="24"/>
                <w:lang w:eastAsia="zh-CN"/>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eastAsia="zh-CN"/>
              </w:rPr>
            </w:pPr>
            <w:r>
              <w:rPr>
                <w:rFonts w:hint="eastAsia" w:ascii="宋体" w:hAnsi="宋体"/>
                <w:color w:val="000000"/>
                <w:kern w:val="0"/>
                <w:sz w:val="24"/>
                <w:lang w:val="en-US" w:eastAsia="zh-CN"/>
              </w:rPr>
              <w:t>9</w:t>
            </w:r>
            <w:r>
              <w:rPr>
                <w:rFonts w:hint="default" w:ascii="宋体" w:hAnsi="宋体"/>
                <w:color w:val="000000"/>
                <w:kern w:val="0"/>
                <w:sz w:val="24"/>
                <w:lang w:eastAsia="zh-CN"/>
              </w:rPr>
              <w:t>6</w:t>
            </w:r>
          </w:p>
        </w:tc>
      </w:tr>
    </w:tbl>
    <w:p>
      <w:pPr>
        <w:widowControl/>
      </w:pPr>
    </w:p>
    <w:p>
      <w:pPr>
        <w:widowControl/>
      </w:pPr>
    </w:p>
    <w:p>
      <w:pPr>
        <w:widowControl/>
      </w:pPr>
    </w:p>
    <w:p>
      <w:pPr>
        <w:widowControl/>
      </w:pPr>
    </w:p>
    <w:p>
      <w:pPr>
        <w:widowControl/>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22"/>
    <w:multiLevelType w:val="singleLevel"/>
    <w:tmpl w:val="557FDF22"/>
    <w:lvl w:ilvl="0" w:tentative="0">
      <w:start w:val="1"/>
      <w:numFmt w:val="chineseCounting"/>
      <w:suff w:val="nothing"/>
      <w:lvlText w:val="%1、"/>
      <w:lvlJc w:val="left"/>
    </w:lvl>
  </w:abstractNum>
  <w:abstractNum w:abstractNumId="1">
    <w:nsid w:val="557FDF3C"/>
    <w:multiLevelType w:val="singleLevel"/>
    <w:tmpl w:val="557FDF3C"/>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DFBB"/>
    <w:multiLevelType w:val="singleLevel"/>
    <w:tmpl w:val="557FDFBB"/>
    <w:lvl w:ilvl="0" w:tentative="0">
      <w:start w:val="1"/>
      <w:numFmt w:val="chineseCounting"/>
      <w:suff w:val="nothing"/>
      <w:lvlText w:val="（%1）"/>
      <w:lvlJc w:val="left"/>
    </w:lvl>
  </w:abstractNum>
  <w:abstractNum w:abstractNumId="4">
    <w:nsid w:val="557FE056"/>
    <w:multiLevelType w:val="singleLevel"/>
    <w:tmpl w:val="557FE056"/>
    <w:lvl w:ilvl="0" w:tentative="0">
      <w:start w:val="3"/>
      <w:numFmt w:val="chineseCounting"/>
      <w:suff w:val="nothing"/>
      <w:lvlText w:val="%1、"/>
      <w:lvlJc w:val="left"/>
    </w:lvl>
  </w:abstractNum>
  <w:abstractNum w:abstractNumId="5">
    <w:nsid w:val="557FE13B"/>
    <w:multiLevelType w:val="singleLevel"/>
    <w:tmpl w:val="557FE13B"/>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Tc0YzQ2YTg2NmI5ZWIwMTljNzVmNWUxYWY3YmMifQ=="/>
    <w:docVar w:name="KSO_WPS_MARK_KEY" w:val="8fc2fad1-3ffa-4371-b382-e8e79e44af64"/>
  </w:docVars>
  <w:rsids>
    <w:rsidRoot w:val="00000000"/>
    <w:rsid w:val="01F96F12"/>
    <w:rsid w:val="0213141D"/>
    <w:rsid w:val="03513A52"/>
    <w:rsid w:val="099512B1"/>
    <w:rsid w:val="0A197B65"/>
    <w:rsid w:val="0AF95F0B"/>
    <w:rsid w:val="0D474670"/>
    <w:rsid w:val="0DA03B76"/>
    <w:rsid w:val="0F3860FF"/>
    <w:rsid w:val="182B12DD"/>
    <w:rsid w:val="1CE95744"/>
    <w:rsid w:val="1D6557AE"/>
    <w:rsid w:val="1DCD0F0E"/>
    <w:rsid w:val="209103A0"/>
    <w:rsid w:val="2C0B4CE2"/>
    <w:rsid w:val="335119C9"/>
    <w:rsid w:val="336834A4"/>
    <w:rsid w:val="356E38AD"/>
    <w:rsid w:val="3B5A363D"/>
    <w:rsid w:val="40153D84"/>
    <w:rsid w:val="4A1A5DC7"/>
    <w:rsid w:val="4BBA3C84"/>
    <w:rsid w:val="4DF05E73"/>
    <w:rsid w:val="513F0659"/>
    <w:rsid w:val="554D3B9C"/>
    <w:rsid w:val="5C4557EC"/>
    <w:rsid w:val="5F963110"/>
    <w:rsid w:val="609C3BF5"/>
    <w:rsid w:val="6DE27788"/>
    <w:rsid w:val="6DF17581"/>
    <w:rsid w:val="7E940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pacing w:line="240" w:lineRule="auto"/>
    </w:pPr>
    <w:rPr>
      <w:sz w:val="18"/>
      <w:szCs w:val="18"/>
    </w:rPr>
  </w:style>
  <w:style w:type="paragraph" w:styleId="4">
    <w:name w:val="Normal (Web)"/>
    <w:basedOn w:val="1"/>
    <w:uiPriority w:val="0"/>
    <w:rPr>
      <w:sz w:val="24"/>
    </w:rPr>
  </w:style>
  <w:style w:type="paragraph" w:styleId="5">
    <w:name w:val="Body Text First Indent 2"/>
    <w:basedOn w:val="1"/>
    <w:unhideWhenUsed/>
    <w:qFormat/>
    <w:uiPriority w:val="99"/>
    <w:pPr>
      <w:ind w:firstLine="42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rPr>
      <w:rFonts w:ascii="Calibri" w:hAnsi="Calibri" w:eastAsia="宋体" w:cs="Times New Roman"/>
      <w:szCs w:val="22"/>
    </w:rPr>
  </w:style>
  <w:style w:type="character" w:customStyle="1" w:styleId="9">
    <w:name w:val="Character Style 1"/>
    <w:qFormat/>
    <w:uiPriority w:val="0"/>
    <w:rPr>
      <w:sz w:val="20"/>
    </w:rPr>
  </w:style>
  <w:style w:type="character" w:customStyle="1" w:styleId="10">
    <w:name w:val="NormalCharacter"/>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21552</Words>
  <Characters>22543</Characters>
  <Lines>0</Lines>
  <Paragraphs>0</Paragraphs>
  <TotalTime>48</TotalTime>
  <ScaleCrop>false</ScaleCrop>
  <LinksUpToDate>false</LinksUpToDate>
  <CharactersWithSpaces>23329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2024-03-26T08:51:00Z</cp:lastPrinted>
  <dcterms:modified xsi:type="dcterms:W3CDTF">2024-03-27T01:46:19Z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4AD41996FAA84955B2A889DC928C694C_12</vt:lpwstr>
  </property>
</Properties>
</file>