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年决算数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年预算数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9.44</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9.44</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9.44</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3.3</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3.4</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3.4</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6.04</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6.04</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2.76</w:t>
            </w: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2.76</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1.24</w:t>
            </w: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1.24</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2.04</w:t>
            </w: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FF0000"/>
                <w:kern w:val="0"/>
                <w:szCs w:val="21"/>
                <w:lang w:val="en-US" w:eastAsia="zh-CN"/>
              </w:rPr>
              <w:t>2.04</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lang w:val="en-US" w:eastAsia="zh-CN"/>
              </w:rPr>
              <w:t>22</w:t>
            </w:r>
            <w:r>
              <w:rPr>
                <w:rFonts w:eastAsia="仿宋_GB2312"/>
                <w:kern w:val="0"/>
                <w:szCs w:val="21"/>
              </w:rPr>
              <w:t>年完工项目）</w:t>
            </w:r>
          </w:p>
        </w:tc>
        <w:tc>
          <w:tcPr>
            <w:tcW w:w="1189" w:type="dxa"/>
            <w:noWrap w:val="0"/>
            <w:vAlign w:val="center"/>
          </w:tcPr>
          <w:p>
            <w:pPr>
              <w:widowControl/>
              <w:spacing w:line="240" w:lineRule="exact"/>
              <w:jc w:val="center"/>
              <w:rPr>
                <w:rFonts w:hint="eastAsia" w:eastAsia="仿宋_GB2312"/>
                <w:bCs/>
                <w:kern w:val="0"/>
                <w:szCs w:val="21"/>
                <w:lang w:eastAsia="zh-CN"/>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4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2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11"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6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63"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eastAsia="仿宋_GB2312"/>
                <w:kern w:val="0"/>
                <w:szCs w:val="21"/>
              </w:rPr>
            </w:pPr>
            <w:r>
              <w:rPr>
                <w:rFonts w:hint="eastAsia" w:eastAsia="仿宋_GB2312"/>
                <w:kern w:val="0"/>
                <w:szCs w:val="21"/>
                <w:lang w:eastAsia="zh-CN"/>
              </w:rPr>
              <w:t>尽量压缩开支，严格控制经费支出</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2022</w:t>
      </w:r>
      <w:r>
        <w:rPr>
          <w:rFonts w:eastAsia="仿宋_GB2312"/>
          <w:color w:val="000000"/>
          <w:kern w:val="0"/>
          <w:szCs w:val="21"/>
        </w:rPr>
        <w:t>年度）</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pPr>
              <w:widowControl/>
              <w:jc w:val="center"/>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898" w:type="dxa"/>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104.8</w:t>
            </w:r>
          </w:p>
        </w:tc>
        <w:tc>
          <w:tcPr>
            <w:tcW w:w="1295"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104.8</w:t>
            </w: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104.8</w:t>
            </w:r>
          </w:p>
        </w:tc>
        <w:tc>
          <w:tcPr>
            <w:tcW w:w="709" w:type="dxa"/>
            <w:noWrap w:val="0"/>
            <w:vAlign w:val="center"/>
          </w:tcPr>
          <w:p>
            <w:pPr>
              <w:jc w:val="center"/>
              <w:rPr>
                <w:rFonts w:eastAsia="仿宋_GB2312"/>
                <w:szCs w:val="21"/>
              </w:rPr>
            </w:pPr>
            <w:r>
              <w:rPr>
                <w:rFonts w:eastAsia="仿宋_GB2312"/>
                <w:szCs w:val="21"/>
              </w:rPr>
              <w:t>10</w:t>
            </w:r>
          </w:p>
        </w:tc>
        <w:tc>
          <w:tcPr>
            <w:tcW w:w="898" w:type="dxa"/>
            <w:noWrap w:val="0"/>
            <w:vAlign w:val="center"/>
          </w:tcPr>
          <w:p>
            <w:pPr>
              <w:jc w:val="center"/>
              <w:rPr>
                <w:rFonts w:eastAsia="仿宋_GB2312"/>
                <w:szCs w:val="21"/>
              </w:rPr>
            </w:pPr>
          </w:p>
        </w:tc>
        <w:tc>
          <w:tcPr>
            <w:tcW w:w="1446" w:type="dxa"/>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104.8</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完成烟叶收购</w:t>
            </w:r>
            <w:r>
              <w:rPr>
                <w:rFonts w:hint="eastAsia" w:eastAsia="仿宋_GB2312"/>
                <w:color w:val="000000"/>
                <w:kern w:val="0"/>
                <w:szCs w:val="21"/>
                <w:lang w:val="en-US" w:eastAsia="zh-CN"/>
              </w:rPr>
              <w:t>5.1万担</w:t>
            </w:r>
            <w:r>
              <w:rPr>
                <w:rFonts w:eastAsia="仿宋_GB2312"/>
                <w:color w:val="000000"/>
                <w:kern w:val="0"/>
                <w:szCs w:val="21"/>
              </w:rPr>
              <w:t>　　</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实际收购</w:t>
            </w:r>
            <w:r>
              <w:rPr>
                <w:rFonts w:hint="eastAsia" w:eastAsia="仿宋_GB2312"/>
                <w:color w:val="000000"/>
                <w:kern w:val="0"/>
                <w:szCs w:val="21"/>
                <w:lang w:val="en-US" w:eastAsia="zh-CN"/>
              </w:rPr>
              <w:t>5.36万担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收购烟叶</w:t>
            </w:r>
          </w:p>
        </w:tc>
        <w:tc>
          <w:tcPr>
            <w:tcW w:w="120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51000担</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53638</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完成税收</w:t>
            </w:r>
          </w:p>
        </w:tc>
        <w:tc>
          <w:tcPr>
            <w:tcW w:w="120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1600万</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1873万</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烟农满意度</w:t>
            </w:r>
          </w:p>
        </w:tc>
        <w:tc>
          <w:tcPr>
            <w:tcW w:w="120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93%</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99</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kern w:val="0"/>
          <w:sz w:val="44"/>
          <w:szCs w:val="44"/>
          <w:lang w:eastAsia="zh-CN"/>
        </w:rPr>
        <w:t>县烤烟办</w:t>
      </w:r>
      <w:r>
        <w:rPr>
          <w:rFonts w:ascii="方正小标宋_GBK" w:hAnsi="方正小标宋_GBK" w:eastAsia="方正小标宋_GBK"/>
          <w:kern w:val="0"/>
          <w:sz w:val="44"/>
          <w:szCs w:val="44"/>
        </w:rPr>
        <w:t>部门整体支出绩效评价表</w:t>
      </w:r>
    </w:p>
    <w:tbl>
      <w:tblPr>
        <w:tblStyle w:val="2"/>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0</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vMerge w:val="restart"/>
            <w:tcBorders>
              <w:top w:val="nil"/>
              <w:left w:val="nil"/>
              <w:right w:val="single" w:color="auto" w:sz="4" w:space="0"/>
            </w:tcBorders>
            <w:noWrap w:val="0"/>
            <w:vAlign w:val="center"/>
          </w:tcPr>
          <w:p>
            <w:pPr>
              <w:widowControl/>
              <w:jc w:val="left"/>
              <w:rPr>
                <w:kern w:val="0"/>
                <w:sz w:val="24"/>
              </w:rPr>
            </w:pPr>
            <w:r>
              <w:rPr>
                <w:kern w:val="0"/>
                <w:sz w:val="24"/>
              </w:rPr>
              <w:t>　</w:t>
            </w:r>
          </w:p>
          <w:p>
            <w:pPr>
              <w:widowControl/>
              <w:jc w:val="left"/>
              <w:rPr>
                <w:rFonts w:hint="default" w:eastAsia="宋体"/>
                <w:kern w:val="0"/>
                <w:sz w:val="24"/>
                <w:lang w:val="en-US" w:eastAsia="zh-CN"/>
              </w:rPr>
            </w:pPr>
            <w:r>
              <w:rPr>
                <w:rFonts w:hint="eastAsia"/>
                <w:kern w:val="0"/>
                <w:sz w:val="24"/>
                <w:lang w:val="en-US" w:eastAsia="zh-CN"/>
              </w:rPr>
              <w:t>10</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vMerge w:val="continue"/>
            <w:tcBorders>
              <w:left w:val="nil"/>
              <w:bottom w:val="nil"/>
              <w:right w:val="single" w:color="auto" w:sz="4" w:space="0"/>
            </w:tcBorders>
            <w:noWrap w:val="0"/>
            <w:vAlign w:val="center"/>
          </w:tcPr>
          <w:p>
            <w:pPr>
              <w:widowControl/>
              <w:jc w:val="left"/>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tabs>
                <w:tab w:val="left" w:pos="3665"/>
              </w:tabs>
              <w:rPr>
                <w:rFonts w:hint="default" w:ascii="宋体" w:hAnsi="宋体" w:eastAsia="宋体"/>
                <w:color w:val="000000"/>
                <w:kern w:val="0"/>
                <w:sz w:val="24"/>
                <w:lang w:val="en-US" w:eastAsia="zh-CN"/>
              </w:rPr>
            </w:pPr>
            <w:r>
              <w:rPr>
                <w:rFonts w:hint="eastAsia" w:ascii="宋体" w:hAnsi="宋体"/>
                <w:color w:val="000000"/>
                <w:kern w:val="0"/>
                <w:sz w:val="24"/>
                <w:lang w:eastAsia="zh-CN"/>
              </w:rPr>
              <w:tab/>
            </w:r>
            <w:r>
              <w:rPr>
                <w:rFonts w:hint="eastAsia" w:ascii="宋体" w:hAnsi="宋体"/>
                <w:color w:val="000000"/>
                <w:kern w:val="0"/>
                <w:sz w:val="24"/>
                <w:lang w:val="en-US" w:eastAsia="zh-CN"/>
              </w:rPr>
              <w:t>95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ZTAxY2JmNmQ5ZGNhMWJhNTA5ZDcwOWIyOTNmZWIifQ=="/>
  </w:docVars>
  <w:rsids>
    <w:rsidRoot w:val="33B4513A"/>
    <w:rsid w:val="33B4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2023-03-24T07:00:00Z</dcterms:created>
  <dc:creator>用户6556</dc:creator>
  <cp:lastModifiedBy>用户6556</cp:lastModifiedBy>
  <dcterms:modified xsi:type="dcterms:W3CDTF">2023-03-24T07:06:10Z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3B85EA8C8C664E2C938361A2B9B129F1</vt:lpwstr>
  </property>
</Properties>
</file>