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bookmarkStart w:id="0" w:name="_GoBack"/>
      <w:bookmarkEnd w:id="0"/>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67</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67</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年预算数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19.17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17.67</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5.47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4.85</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4.54</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 w:val="21"/>
                <w:szCs w:val="21"/>
                <w:lang w:val="en-US" w:eastAsia="zh-CN" w:bidi="ar-SA"/>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 w:val="21"/>
                <w:szCs w:val="21"/>
                <w:lang w:val="en-US" w:eastAsia="zh-CN" w:bidi="ar-SA"/>
              </w:rPr>
            </w:pPr>
            <w:r>
              <w:rPr>
                <w:rFonts w:hint="eastAsia" w:eastAsia="仿宋_GB2312"/>
                <w:kern w:val="0"/>
                <w:szCs w:val="21"/>
                <w:lang w:val="en-US" w:eastAsia="zh-CN"/>
              </w:rPr>
              <w:t>5.47</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4.85</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 w:val="21"/>
                <w:szCs w:val="21"/>
                <w:lang w:val="en-US" w:eastAsia="zh-CN" w:bidi="ar-SA"/>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13.7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12.82</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numPr>
                <w:ilvl w:val="0"/>
                <w:numId w:val="1"/>
              </w:numPr>
              <w:ind w:firstLine="420" w:firstLineChars="200"/>
              <w:jc w:val="left"/>
            </w:pPr>
            <w:r>
              <w:t>专项资金</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629.2</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491</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规划编制工作经费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农村房屋安全隐患排查经费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农村工匠培训</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施工图审查服务</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数字博物馆建设</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消防培训</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c>
          <w:tcPr>
            <w:tcW w:w="2240"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c>
          <w:tcPr>
            <w:tcW w:w="1832"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ascii="Tahoma" w:hAnsi="Tahoma" w:eastAsia="仿宋_GB2312"/>
                <w:b w:val="0"/>
                <w:bCs w:val="0"/>
                <w:color w:val="auto"/>
                <w:kern w:val="0"/>
                <w:sz w:val="22"/>
                <w:szCs w:val="32"/>
                <w:lang w:eastAsia="zh-CN"/>
              </w:rPr>
            </w:pPr>
            <w:r>
              <w:rPr>
                <w:rFonts w:hint="eastAsia" w:ascii="Tahoma" w:hAnsi="Tahoma" w:eastAsia="仿宋_GB2312"/>
                <w:b w:val="0"/>
                <w:bCs w:val="0"/>
                <w:color w:val="auto"/>
                <w:kern w:val="0"/>
                <w:sz w:val="22"/>
                <w:szCs w:val="32"/>
                <w:lang w:eastAsia="zh-CN"/>
              </w:rPr>
              <w:t>建设工程质量安全监督站工作经费</w:t>
            </w:r>
          </w:p>
        </w:tc>
        <w:tc>
          <w:tcPr>
            <w:tcW w:w="2038" w:type="dxa"/>
            <w:gridSpan w:val="2"/>
            <w:noWrap w:val="0"/>
            <w:vAlign w:val="center"/>
          </w:tcPr>
          <w:p>
            <w:pPr>
              <w:widowControl/>
              <w:jc w:val="center"/>
              <w:rPr>
                <w:rFonts w:hint="eastAsia" w:eastAsia="仿宋_GB2312"/>
                <w:kern w:val="0"/>
                <w:sz w:val="21"/>
                <w:szCs w:val="21"/>
                <w:lang w:val="en-US" w:eastAsia="zh-CN" w:bidi="ar-SA"/>
              </w:rPr>
            </w:pP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40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非税收入安排支出</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394.2</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216</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both"/>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38.62</w:t>
            </w:r>
            <w:r>
              <w:rPr>
                <w:rFonts w:eastAsia="仿宋_GB2312"/>
                <w:kern w:val="0"/>
                <w:szCs w:val="21"/>
              </w:rPr>
              <w:t>　</w:t>
            </w:r>
          </w:p>
        </w:tc>
        <w:tc>
          <w:tcPr>
            <w:tcW w:w="2240"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34.22</w:t>
            </w:r>
          </w:p>
        </w:tc>
        <w:tc>
          <w:tcPr>
            <w:tcW w:w="1832"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34.22</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hint="default"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3.5</w:t>
            </w:r>
          </w:p>
        </w:tc>
        <w:tc>
          <w:tcPr>
            <w:tcW w:w="2240"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3.3</w:t>
            </w:r>
          </w:p>
        </w:tc>
        <w:tc>
          <w:tcPr>
            <w:tcW w:w="1832" w:type="dxa"/>
            <w:gridSpan w:val="2"/>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3.3</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hint="default"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5.47</w:t>
            </w:r>
          </w:p>
        </w:tc>
        <w:tc>
          <w:tcPr>
            <w:tcW w:w="2240"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5.02</w:t>
            </w:r>
            <w:r>
              <w:rPr>
                <w:rFonts w:eastAsia="仿宋_GB2312"/>
                <w:color w:val="auto"/>
                <w:kern w:val="0"/>
                <w:szCs w:val="21"/>
                <w:highlight w:val="none"/>
              </w:rPr>
              <w:t>　</w:t>
            </w:r>
          </w:p>
        </w:tc>
        <w:tc>
          <w:tcPr>
            <w:tcW w:w="1832"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hint="eastAsia"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0</w:t>
            </w:r>
          </w:p>
        </w:tc>
        <w:tc>
          <w:tcPr>
            <w:tcW w:w="2240"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0</w:t>
            </w:r>
            <w:r>
              <w:rPr>
                <w:rFonts w:eastAsia="仿宋_GB2312"/>
                <w:color w:val="auto"/>
                <w:kern w:val="0"/>
                <w:szCs w:val="21"/>
                <w:highlight w:val="none"/>
              </w:rPr>
              <w:t>　</w:t>
            </w:r>
          </w:p>
        </w:tc>
        <w:tc>
          <w:tcPr>
            <w:tcW w:w="1832"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0</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22</w:t>
            </w:r>
            <w:r>
              <w:rPr>
                <w:rFonts w:eastAsia="仿宋_GB2312"/>
                <w:kern w:val="0"/>
                <w:szCs w:val="21"/>
              </w:rPr>
              <w:t>年完工项目）</w:t>
            </w:r>
          </w:p>
        </w:tc>
        <w:tc>
          <w:tcPr>
            <w:tcW w:w="1189" w:type="dxa"/>
            <w:noWrap w:val="0"/>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4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2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11"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6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63"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lang w:eastAsia="zh-CN"/>
              </w:rPr>
              <w:t>严控一般性支出，制定厉行节约相关措施</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江永县住房和城乡建设局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1025.59</w:t>
            </w: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eastAsia="仿宋_GB2312"/>
                <w:szCs w:val="21"/>
              </w:rPr>
            </w:pPr>
            <w:r>
              <w:rPr>
                <w:rFonts w:hint="eastAsia" w:eastAsia="仿宋_GB2312"/>
                <w:szCs w:val="21"/>
                <w:lang w:val="en-US" w:eastAsia="zh-CN"/>
              </w:rPr>
              <w:t>1025.59</w:t>
            </w:r>
          </w:p>
        </w:tc>
        <w:tc>
          <w:tcPr>
            <w:tcW w:w="1295" w:type="dxa"/>
            <w:gridSpan w:val="2"/>
            <w:noWrap w:val="0"/>
            <w:vAlign w:val="center"/>
          </w:tcPr>
          <w:p>
            <w:pPr>
              <w:jc w:val="center"/>
              <w:rPr>
                <w:rFonts w:eastAsia="仿宋_GB2312"/>
                <w:szCs w:val="21"/>
              </w:rPr>
            </w:pPr>
            <w:r>
              <w:rPr>
                <w:rFonts w:hint="eastAsia" w:eastAsia="仿宋_GB2312"/>
                <w:szCs w:val="21"/>
                <w:lang w:val="en-US" w:eastAsia="zh-CN"/>
              </w:rPr>
              <w:t>1025.59</w:t>
            </w:r>
          </w:p>
        </w:tc>
        <w:tc>
          <w:tcPr>
            <w:tcW w:w="1134" w:type="dxa"/>
            <w:noWrap w:val="0"/>
            <w:vAlign w:val="center"/>
          </w:tcPr>
          <w:p>
            <w:pPr>
              <w:jc w:val="center"/>
              <w:rPr>
                <w:rFonts w:eastAsia="仿宋_GB2312"/>
                <w:szCs w:val="21"/>
              </w:rPr>
            </w:pPr>
            <w:r>
              <w:rPr>
                <w:rFonts w:hint="eastAsia" w:eastAsia="仿宋_GB2312"/>
                <w:szCs w:val="21"/>
                <w:lang w:val="en-US" w:eastAsia="zh-CN"/>
              </w:rPr>
              <w:t>1025.59</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center"/>
              <w:rPr>
                <w:rFonts w:eastAsia="仿宋_GB2312"/>
                <w:szCs w:val="21"/>
              </w:rPr>
            </w:pPr>
            <w:r>
              <w:rPr>
                <w:rFonts w:hint="eastAsia" w:eastAsia="仿宋_GB2312"/>
                <w:szCs w:val="21"/>
                <w:lang w:val="en-US" w:eastAsia="zh-CN"/>
              </w:rPr>
              <w:t>100%</w:t>
            </w:r>
          </w:p>
        </w:tc>
        <w:tc>
          <w:tcPr>
            <w:tcW w:w="1446" w:type="dxa"/>
            <w:noWrap w:val="0"/>
            <w:vAlign w:val="center"/>
          </w:tcPr>
          <w:p>
            <w:pPr>
              <w:jc w:val="center"/>
              <w:rPr>
                <w:rFonts w:eastAsia="仿宋_GB2312"/>
                <w:szCs w:val="21"/>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r>
              <w:rPr>
                <w:rFonts w:hint="eastAsia" w:eastAsia="仿宋_GB2312"/>
                <w:szCs w:val="21"/>
                <w:lang w:val="en-US" w:eastAsia="zh-CN"/>
              </w:rPr>
              <w:t>1025.59</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r>
              <w:rPr>
                <w:rFonts w:hint="eastAsia" w:eastAsia="仿宋_GB2312"/>
                <w:szCs w:val="21"/>
                <w:lang w:val="en-US" w:eastAsia="zh-CN"/>
              </w:rPr>
              <w:t>1025.59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szCs w:val="21"/>
                <w:lang w:val="en-US" w:eastAsia="zh-CN"/>
              </w:rPr>
              <w:t>1025.59</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534.59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rPr>
              <w:t>1.按照国家政策法规规定和本部门实际情况，</w:t>
            </w:r>
          </w:p>
          <w:p>
            <w:pPr>
              <w:widowControl/>
              <w:jc w:val="left"/>
              <w:rPr>
                <w:rFonts w:hint="eastAsia" w:eastAsia="仿宋_GB2312"/>
                <w:color w:val="000000"/>
                <w:kern w:val="0"/>
                <w:szCs w:val="21"/>
              </w:rPr>
            </w:pPr>
            <w:r>
              <w:rPr>
                <w:rFonts w:hint="eastAsia" w:eastAsia="仿宋_GB2312"/>
                <w:color w:val="000000"/>
                <w:kern w:val="0"/>
                <w:szCs w:val="21"/>
                <w:lang w:eastAsia="zh-CN"/>
              </w:rPr>
              <w:t>建立健全</w:t>
            </w:r>
            <w:r>
              <w:rPr>
                <w:rFonts w:hint="eastAsia" w:eastAsia="仿宋_GB2312"/>
                <w:color w:val="000000"/>
                <w:kern w:val="0"/>
                <w:szCs w:val="21"/>
              </w:rPr>
              <w:t>财务基础管理制度和约束机制，依法、有效地使用财政资金，提高财政资金使用效率，在完成部门职能目标中合理分配人、财、物，使之达到较高的工作效率和水平。</w:t>
            </w:r>
          </w:p>
          <w:p>
            <w:pPr>
              <w:widowControl/>
              <w:jc w:val="left"/>
              <w:rPr>
                <w:rFonts w:hint="eastAsia" w:eastAsia="仿宋_GB2312"/>
                <w:color w:val="000000"/>
                <w:kern w:val="0"/>
                <w:szCs w:val="21"/>
              </w:rPr>
            </w:pPr>
            <w:r>
              <w:rPr>
                <w:rFonts w:hint="eastAsia" w:eastAsia="仿宋_GB2312"/>
                <w:color w:val="000000"/>
                <w:kern w:val="0"/>
                <w:szCs w:val="21"/>
              </w:rPr>
              <w:t>2.狠抓建筑工地质量安全上台阶，确保我县建筑领域安全生产稳定、可控、有序发展。</w:t>
            </w:r>
          </w:p>
          <w:p>
            <w:pPr>
              <w:widowControl/>
              <w:jc w:val="left"/>
              <w:rPr>
                <w:rFonts w:hint="eastAsia" w:eastAsia="仿宋_GB2312"/>
                <w:color w:val="000000"/>
                <w:kern w:val="0"/>
                <w:szCs w:val="21"/>
              </w:rPr>
            </w:pPr>
            <w:r>
              <w:rPr>
                <w:rFonts w:hint="eastAsia" w:eastAsia="仿宋_GB2312"/>
                <w:color w:val="000000"/>
                <w:kern w:val="0"/>
                <w:szCs w:val="21"/>
              </w:rPr>
              <w:t>3.推进老旧小区改造工作项目建设，8个传统村落数字博物馆建设。</w:t>
            </w:r>
          </w:p>
          <w:p>
            <w:pPr>
              <w:widowControl/>
              <w:jc w:val="left"/>
              <w:rPr>
                <w:rFonts w:eastAsia="仿宋_GB2312"/>
                <w:color w:val="000000"/>
                <w:kern w:val="0"/>
                <w:szCs w:val="21"/>
              </w:rPr>
            </w:pPr>
            <w:r>
              <w:rPr>
                <w:rFonts w:hint="eastAsia" w:eastAsia="仿宋_GB2312"/>
                <w:color w:val="000000"/>
                <w:kern w:val="0"/>
                <w:szCs w:val="21"/>
              </w:rPr>
              <w:t>4.跟进结建人防工程建设。</w:t>
            </w:r>
            <w:r>
              <w:rPr>
                <w:rFonts w:eastAsia="仿宋_GB2312"/>
                <w:color w:val="000000"/>
                <w:kern w:val="0"/>
                <w:szCs w:val="21"/>
              </w:rPr>
              <w:t>　　</w:t>
            </w:r>
          </w:p>
        </w:tc>
        <w:tc>
          <w:tcPr>
            <w:tcW w:w="4187" w:type="dxa"/>
            <w:gridSpan w:val="4"/>
            <w:noWrap w:val="0"/>
            <w:vAlign w:val="center"/>
          </w:tcPr>
          <w:p>
            <w:pPr>
              <w:numPr>
                <w:ilvl w:val="0"/>
                <w:numId w:val="0"/>
              </w:numPr>
              <w:jc w:val="left"/>
              <w:rPr>
                <w:rFonts w:hint="eastAsia"/>
              </w:rPr>
            </w:pPr>
            <w:r>
              <w:rPr>
                <w:rFonts w:hint="eastAsia"/>
                <w:lang w:val="en-US" w:eastAsia="zh-CN"/>
              </w:rPr>
              <w:t>1.</w:t>
            </w:r>
            <w:r>
              <w:rPr>
                <w:rFonts w:hint="eastAsia"/>
                <w:lang w:eastAsia="zh-CN"/>
              </w:rPr>
              <w:t>全县农村房屋安全隐患排查</w:t>
            </w:r>
            <w:r>
              <w:rPr>
                <w:rFonts w:hint="eastAsia"/>
                <w:lang w:val="en-US" w:eastAsia="zh-CN"/>
              </w:rPr>
              <w:t>53035 户</w:t>
            </w:r>
            <w:r>
              <w:rPr>
                <w:rFonts w:hint="eastAsia"/>
                <w:lang w:eastAsia="zh-CN"/>
              </w:rPr>
              <w:t>。</w:t>
            </w:r>
          </w:p>
          <w:p>
            <w:pPr>
              <w:numPr>
                <w:ilvl w:val="0"/>
                <w:numId w:val="0"/>
              </w:numPr>
              <w:jc w:val="left"/>
              <w:rPr>
                <w:rFonts w:hint="eastAsia"/>
              </w:rPr>
            </w:pPr>
            <w:r>
              <w:rPr>
                <w:rFonts w:hint="eastAsia"/>
                <w:lang w:val="en-US" w:eastAsia="zh-CN"/>
              </w:rPr>
              <w:t>2.</w:t>
            </w:r>
            <w:r>
              <w:rPr>
                <w:rFonts w:hint="eastAsia"/>
                <w:lang w:eastAsia="zh-CN"/>
              </w:rPr>
              <w:t>农村工匠培训</w:t>
            </w:r>
            <w:r>
              <w:rPr>
                <w:rFonts w:hint="eastAsia"/>
                <w:lang w:val="en-US" w:eastAsia="zh-CN"/>
              </w:rPr>
              <w:t>80人次</w:t>
            </w:r>
            <w:r>
              <w:rPr>
                <w:rFonts w:hint="eastAsia"/>
                <w:lang w:eastAsia="zh-CN"/>
              </w:rPr>
              <w:t>。</w:t>
            </w:r>
          </w:p>
          <w:p>
            <w:pPr>
              <w:numPr>
                <w:ilvl w:val="0"/>
                <w:numId w:val="0"/>
              </w:numPr>
              <w:jc w:val="left"/>
              <w:rPr>
                <w:rFonts w:hint="eastAsia"/>
              </w:rPr>
            </w:pPr>
            <w:r>
              <w:rPr>
                <w:rFonts w:hint="eastAsia"/>
                <w:lang w:val="en-US" w:eastAsia="zh-CN"/>
              </w:rPr>
              <w:t>3.</w:t>
            </w:r>
            <w:r>
              <w:rPr>
                <w:rFonts w:hint="eastAsia"/>
                <w:lang w:eastAsia="zh-CN"/>
              </w:rPr>
              <w:t>施工图审查服务</w:t>
            </w:r>
            <w:r>
              <w:rPr>
                <w:rFonts w:hint="eastAsia"/>
                <w:lang w:val="en-US" w:eastAsia="zh-CN"/>
              </w:rPr>
              <w:t>64个</w:t>
            </w:r>
            <w:r>
              <w:rPr>
                <w:rFonts w:hint="eastAsia"/>
                <w:lang w:eastAsia="zh-CN"/>
              </w:rPr>
              <w:t>。</w:t>
            </w:r>
          </w:p>
          <w:p>
            <w:r>
              <w:rPr>
                <w:rFonts w:hint="eastAsia"/>
                <w:lang w:val="en-US" w:eastAsia="zh-CN"/>
              </w:rPr>
              <w:t>4.</w:t>
            </w:r>
            <w:r>
              <w:rPr>
                <w:rFonts w:hint="eastAsia"/>
                <w:lang w:eastAsia="zh-CN"/>
              </w:rPr>
              <w:t>数字博物馆建设</w:t>
            </w:r>
            <w:r>
              <w:rPr>
                <w:rFonts w:hint="eastAsia"/>
                <w:lang w:val="en-US" w:eastAsia="zh-CN"/>
              </w:rPr>
              <w:t>7个</w:t>
            </w:r>
            <w:r>
              <w:rPr>
                <w:rFonts w:hint="eastAsia"/>
                <w:lang w:eastAsia="zh-CN"/>
              </w:rPr>
              <w:t>。</w:t>
            </w:r>
            <w:r>
              <w:t>　</w:t>
            </w:r>
          </w:p>
          <w:p>
            <w:pPr>
              <w:rPr>
                <w:rFonts w:hint="default"/>
                <w:lang w:val="en-US" w:eastAsia="zh-CN"/>
              </w:rPr>
            </w:pPr>
            <w:r>
              <w:rPr>
                <w:rFonts w:hint="eastAsia"/>
                <w:lang w:val="en-US" w:eastAsia="zh-CN"/>
              </w:rPr>
              <w:t>5.</w:t>
            </w:r>
            <w:r>
              <w:rPr>
                <w:rFonts w:hint="eastAsia"/>
                <w:lang w:eastAsia="zh-CN"/>
              </w:rPr>
              <w:t>消防培训</w:t>
            </w:r>
            <w:r>
              <w:rPr>
                <w:rFonts w:hint="eastAsia"/>
                <w:lang w:val="en-US" w:eastAsia="zh-CN"/>
              </w:rPr>
              <w:t>8人</w:t>
            </w:r>
            <w:r>
              <w:rPr>
                <w:rFonts w:hint="eastAsia"/>
                <w:lang w:eastAsia="zh-CN"/>
              </w:rPr>
              <w:t>。</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lang w:eastAsia="zh-CN"/>
              </w:rPr>
              <w:t>桐口村、河渊村、浦尾村、松柏社区、黄甲岭社区、古调村、清溪村7个数字博物馆建设　</w:t>
            </w:r>
            <w:r>
              <w:rPr>
                <w:rFonts w:hint="eastAsia" w:ascii="仿宋_GB2312" w:eastAsia="仿宋_GB2312"/>
                <w:color w:val="000000"/>
                <w:kern w:val="0"/>
                <w:szCs w:val="21"/>
              </w:rPr>
              <w:t>　</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7个</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7个</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全县农村房屋安全隐患排查</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8000户</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53035户</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ascii="仿宋_GB2312" w:eastAsia="仿宋_GB2312"/>
                <w:color w:val="000000"/>
                <w:kern w:val="0"/>
                <w:szCs w:val="21"/>
                <w:lang w:val="en-US" w:eastAsia="zh-CN"/>
              </w:rPr>
              <w:t>农村工匠培训</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80人次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80人次</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ascii="仿宋_GB2312" w:eastAsia="仿宋_GB2312"/>
                <w:color w:val="000000"/>
                <w:kern w:val="0"/>
                <w:szCs w:val="21"/>
                <w:lang w:val="en-US" w:eastAsia="zh-CN"/>
              </w:rPr>
              <w:t>施工图审查服务</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50个</w:t>
            </w:r>
          </w:p>
        </w:tc>
        <w:tc>
          <w:tcPr>
            <w:tcW w:w="1134"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64个</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rPr>
              <w:t>项目（工程）验收合格率</w:t>
            </w:r>
          </w:p>
        </w:tc>
        <w:tc>
          <w:tcPr>
            <w:tcW w:w="1200"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rPr>
              <w:t>项目（工程）完成及时率</w:t>
            </w:r>
          </w:p>
        </w:tc>
        <w:tc>
          <w:tcPr>
            <w:tcW w:w="1200"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lang w:eastAsia="zh-CN"/>
              </w:rPr>
              <w:t>数字博物馆建设成本标准</w:t>
            </w:r>
            <w:r>
              <w:rPr>
                <w:rFonts w:hint="eastAsia" w:ascii="仿宋_GB2312" w:eastAsia="仿宋_GB2312"/>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宋体" w:hAnsi="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万元/个</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万元/个</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基础建设的经济效益主要显示社会效益</w:t>
            </w:r>
            <w:r>
              <w:rPr>
                <w:rFonts w:hint="eastAsia" w:ascii="仿宋_GB2312" w:eastAsia="仿宋_GB2312"/>
                <w:b/>
                <w:bCs/>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信息资源网络化</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　</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优化环境，减少污染，保护生物多样性</w:t>
            </w:r>
            <w:r>
              <w:rPr>
                <w:rFonts w:hint="eastAsia" w:ascii="仿宋_GB2312" w:eastAsia="仿宋_GB2312"/>
                <w:b/>
                <w:bCs/>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 w:val="18"/>
                <w:szCs w:val="18"/>
                <w:lang w:eastAsia="zh-CN"/>
              </w:rPr>
              <w:t>每年工作持续进行</w:t>
            </w:r>
          </w:p>
        </w:tc>
        <w:tc>
          <w:tcPr>
            <w:tcW w:w="1200"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 w:val="18"/>
                <w:szCs w:val="18"/>
                <w:lang w:eastAsia="zh-CN"/>
              </w:rPr>
              <w:t>社会公众满意度　</w:t>
            </w:r>
          </w:p>
        </w:tc>
        <w:tc>
          <w:tcPr>
            <w:tcW w:w="1200"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90%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tabs>
                <w:tab w:val="left" w:pos="383"/>
              </w:tabs>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100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lang w:val="en-US" w:eastAsia="zh-CN"/>
              </w:rPr>
              <w:t>1.</w:t>
            </w:r>
            <w:r>
              <w:rPr>
                <w:rFonts w:hint="eastAsia" w:ascii="仿宋_GB2312" w:eastAsia="仿宋_GB2312"/>
                <w:color w:val="000000"/>
                <w:kern w:val="0"/>
                <w:szCs w:val="21"/>
                <w:lang w:eastAsia="zh-CN"/>
              </w:rPr>
              <w:t>桐口村等</w:t>
            </w:r>
            <w:r>
              <w:rPr>
                <w:rFonts w:hint="eastAsia" w:ascii="仿宋_GB2312" w:eastAsia="仿宋_GB2312"/>
                <w:color w:val="000000"/>
                <w:kern w:val="0"/>
                <w:szCs w:val="21"/>
                <w:lang w:val="en-US" w:eastAsia="zh-CN"/>
              </w:rPr>
              <w:t>7个</w:t>
            </w:r>
            <w:r>
              <w:rPr>
                <w:rFonts w:hint="eastAsia" w:ascii="仿宋_GB2312" w:eastAsia="仿宋_GB2312"/>
                <w:color w:val="000000"/>
                <w:kern w:val="0"/>
                <w:szCs w:val="21"/>
                <w:lang w:eastAsia="zh-CN"/>
              </w:rPr>
              <w:t>数字博物馆建设</w:t>
            </w: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 xml:space="preserve"> 2.农村房屋安全隐患排查经费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江永县住房和城乡建设局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491</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lang w:val="en-US" w:eastAsia="zh-CN"/>
              </w:rPr>
              <w:t>1.完成数字博物馆建设7个2.全县农村房屋安全隐患排查</w:t>
            </w:r>
          </w:p>
        </w:tc>
        <w:tc>
          <w:tcPr>
            <w:tcW w:w="4253" w:type="dxa"/>
            <w:gridSpan w:val="4"/>
            <w:noWrap w:val="0"/>
            <w:vAlign w:val="center"/>
          </w:tcPr>
          <w:p>
            <w:pPr>
              <w:widowControl/>
              <w:jc w:val="left"/>
              <w:rPr>
                <w:rFonts w:hint="eastAsia" w:eastAsia="仿宋_GB2312"/>
                <w:b/>
                <w:bCs/>
                <w:color w:val="000000"/>
                <w:kern w:val="0"/>
                <w:szCs w:val="21"/>
                <w:lang w:val="en-US" w:eastAsia="zh-CN"/>
              </w:rPr>
            </w:pPr>
            <w:r>
              <w:rPr>
                <w:rFonts w:eastAsia="仿宋_GB2312"/>
                <w:color w:val="000000"/>
                <w:kern w:val="0"/>
                <w:szCs w:val="21"/>
              </w:rPr>
              <w:t>　</w:t>
            </w:r>
            <w:r>
              <w:rPr>
                <w:rFonts w:hint="eastAsia" w:ascii="仿宋_GB2312" w:eastAsia="仿宋_GB2312"/>
                <w:color w:val="000000"/>
                <w:kern w:val="0"/>
                <w:szCs w:val="21"/>
                <w:lang w:val="en-US" w:eastAsia="zh-CN"/>
              </w:rPr>
              <w:t>1.完成数字博物馆建设7个2.全县农村房屋安全隐患排查</w:t>
            </w:r>
            <w:r>
              <w:rPr>
                <w:rFonts w:hint="eastAsia" w:eastAsia="仿宋_GB2312"/>
                <w:color w:val="000000"/>
                <w:kern w:val="0"/>
                <w:szCs w:val="21"/>
                <w:lang w:val="en-US" w:eastAsia="zh-CN"/>
              </w:rPr>
              <w:t>53035</w:t>
            </w:r>
            <w:r>
              <w:rPr>
                <w:rFonts w:hint="eastAsia" w:ascii="仿宋_GB2312" w:eastAsia="仿宋_GB2312"/>
                <w:color w:val="000000"/>
                <w:kern w:val="0"/>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 w:val="21"/>
                <w:szCs w:val="21"/>
                <w:lang w:val="en-US" w:eastAsia="zh-CN" w:bidi="ar-SA"/>
              </w:rPr>
            </w:pPr>
            <w:r>
              <w:rPr>
                <w:rFonts w:hint="eastAsia" w:ascii="仿宋_GB2312" w:eastAsia="仿宋_GB2312"/>
                <w:color w:val="000000"/>
                <w:kern w:val="0"/>
                <w:szCs w:val="21"/>
                <w:lang w:eastAsia="zh-CN"/>
              </w:rPr>
              <w:t>桐口村、河渊村、浦尾村、松柏社区、黄甲岭社区、古调村、清溪村</w:t>
            </w:r>
            <w:r>
              <w:rPr>
                <w:rFonts w:hint="eastAsia" w:ascii="仿宋_GB2312" w:eastAsia="仿宋_GB2312"/>
                <w:color w:val="000000"/>
                <w:kern w:val="0"/>
                <w:szCs w:val="21"/>
                <w:lang w:val="en-US" w:eastAsia="zh-CN"/>
              </w:rPr>
              <w:t>7个数字博物馆建设</w:t>
            </w:r>
            <w:r>
              <w:rPr>
                <w:rFonts w:hint="eastAsia" w:ascii="仿宋_GB2312" w:eastAsia="仿宋_GB2312"/>
                <w:color w:val="000000"/>
                <w:kern w:val="0"/>
                <w:szCs w:val="21"/>
              </w:rPr>
              <w:t>　</w:t>
            </w:r>
          </w:p>
        </w:tc>
        <w:tc>
          <w:tcPr>
            <w:tcW w:w="120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Cs w:val="21"/>
                <w:lang w:eastAsia="zh-CN"/>
              </w:rPr>
              <w:t>≥</w:t>
            </w:r>
            <w:r>
              <w:rPr>
                <w:rFonts w:hint="eastAsia" w:eastAsia="仿宋_GB2312"/>
                <w:color w:val="000000"/>
                <w:kern w:val="0"/>
                <w:szCs w:val="21"/>
                <w:lang w:val="en-US" w:eastAsia="zh-CN"/>
              </w:rPr>
              <w:t>7个</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7个</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Cs w:val="21"/>
                <w:lang w:eastAsia="zh-CN"/>
              </w:rPr>
              <w:t>全县农村房屋安全隐患排查</w:t>
            </w:r>
          </w:p>
        </w:tc>
        <w:tc>
          <w:tcPr>
            <w:tcW w:w="1209" w:type="dxa"/>
            <w:noWrap w:val="0"/>
            <w:vAlign w:val="center"/>
          </w:tcPr>
          <w:p>
            <w:pPr>
              <w:widowControl/>
              <w:jc w:val="left"/>
              <w:rPr>
                <w:rFonts w:hint="default" w:eastAsia="仿宋_GB2312"/>
                <w:color w:val="000000"/>
                <w:kern w:val="0"/>
                <w:sz w:val="21"/>
                <w:szCs w:val="21"/>
                <w:lang w:val="en-US" w:eastAsia="zh-CN" w:bidi="ar-SA"/>
              </w:rPr>
            </w:pPr>
            <w:r>
              <w:rPr>
                <w:rFonts w:hint="eastAsia" w:eastAsia="仿宋_GB2312"/>
                <w:color w:val="000000"/>
                <w:kern w:val="0"/>
                <w:szCs w:val="21"/>
                <w:lang w:eastAsia="zh-CN"/>
              </w:rPr>
              <w:t>≥</w:t>
            </w:r>
            <w:r>
              <w:rPr>
                <w:rFonts w:hint="eastAsia" w:eastAsia="仿宋_GB2312"/>
                <w:color w:val="000000"/>
                <w:kern w:val="0"/>
                <w:szCs w:val="21"/>
                <w:lang w:val="en-US" w:eastAsia="zh-CN"/>
              </w:rPr>
              <w:t>8000户</w:t>
            </w:r>
          </w:p>
        </w:tc>
        <w:tc>
          <w:tcPr>
            <w:tcW w:w="1134" w:type="dxa"/>
            <w:noWrap w:val="0"/>
            <w:vAlign w:val="center"/>
          </w:tcPr>
          <w:p>
            <w:pPr>
              <w:widowControl/>
              <w:jc w:val="left"/>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53035户</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ascii="仿宋_GB2312" w:eastAsia="仿宋_GB2312"/>
                <w:color w:val="000000"/>
                <w:kern w:val="0"/>
                <w:szCs w:val="21"/>
              </w:rPr>
              <w:t>项目（工程）验收合格率</w:t>
            </w:r>
          </w:p>
        </w:tc>
        <w:tc>
          <w:tcPr>
            <w:tcW w:w="1209"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hint="eastAsia"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ascii="仿宋_GB2312" w:eastAsia="仿宋_GB2312"/>
                <w:color w:val="000000"/>
                <w:kern w:val="0"/>
                <w:szCs w:val="21"/>
              </w:rPr>
              <w:t>项目（工程）完成及时率</w:t>
            </w:r>
          </w:p>
        </w:tc>
        <w:tc>
          <w:tcPr>
            <w:tcW w:w="1209"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lang w:eastAsia="zh-CN"/>
              </w:rPr>
              <w:t>数字博物馆建设成本标准</w:t>
            </w:r>
            <w:r>
              <w:rPr>
                <w:rFonts w:hint="eastAsia" w:ascii="仿宋_GB2312" w:eastAsia="仿宋_GB2312"/>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宋体" w:hAnsi="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万元/个</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万元/个</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基础建设的经济效益主要显示社会效益</w:t>
            </w:r>
            <w:r>
              <w:rPr>
                <w:rFonts w:hint="eastAsia" w:ascii="仿宋_GB2312" w:eastAsia="仿宋_GB2312"/>
                <w:b/>
                <w:bCs/>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信息资源网络化</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　</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优化环境，减少污染，保护生物多样性</w:t>
            </w:r>
            <w:r>
              <w:rPr>
                <w:rFonts w:hint="eastAsia" w:ascii="仿宋_GB2312" w:eastAsia="仿宋_GB2312"/>
                <w:b/>
                <w:bCs/>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 w:val="18"/>
                <w:szCs w:val="18"/>
                <w:lang w:eastAsia="zh-CN"/>
              </w:rPr>
              <w:t>每年工作持续进行</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 w:val="18"/>
                <w:szCs w:val="18"/>
                <w:lang w:eastAsia="zh-CN"/>
              </w:rPr>
              <w:t>社会公众满意度　</w:t>
            </w:r>
          </w:p>
        </w:tc>
        <w:tc>
          <w:tcPr>
            <w:tcW w:w="120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ind w:firstLine="210" w:firstLineChars="100"/>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90%</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ind w:left="93"/>
        <w:jc w:val="both"/>
        <w:rPr>
          <w:rFonts w:hint="eastAsia" w:eastAsia="黑体"/>
          <w:sz w:val="32"/>
          <w:szCs w:val="32"/>
          <w:lang w:val="en-US"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4</w:t>
      </w:r>
    </w:p>
    <w:p>
      <w:pPr>
        <w:widowControl/>
        <w:ind w:left="93"/>
        <w:jc w:val="both"/>
        <w:rPr>
          <w:rFonts w:ascii="Times New Roman" w:eastAsia="方正小标宋_GBK"/>
          <w:kern w:val="0"/>
          <w:sz w:val="36"/>
          <w:szCs w:val="36"/>
        </w:rPr>
      </w:pPr>
      <w:r>
        <w:rPr>
          <w:rFonts w:hint="eastAsia" w:ascii="方正小标宋_GBK" w:hAnsi="方正小标宋_GBK" w:eastAsia="方正小标宋_GBK"/>
          <w:kern w:val="0"/>
          <w:sz w:val="36"/>
          <w:szCs w:val="36"/>
          <w:lang w:eastAsia="zh-CN"/>
        </w:rPr>
        <w:t>江永县住建局</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江永县住建局</w:t>
      </w:r>
      <w:r>
        <w:rPr>
          <w:rFonts w:ascii="方正小标宋_GBK" w:hAnsi="方正小标宋_GBK" w:eastAsia="方正小标宋_GBK"/>
          <w:kern w:val="0"/>
          <w:sz w:val="44"/>
          <w:szCs w:val="44"/>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p/>
    <w:p>
      <w:pPr>
        <w:widowControl/>
        <w:rPr>
          <w:rFonts w:hint="eastAsia" w:ascii="黑体" w:hAnsi="黑体" w:eastAsia="黑体"/>
          <w:kern w:val="0"/>
          <w:sz w:val="32"/>
          <w:szCs w:val="32"/>
        </w:rPr>
      </w:pPr>
    </w:p>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7</w:t>
      </w:r>
    </w:p>
    <w:p>
      <w:pPr>
        <w:ind w:firstLine="723" w:firstLineChars="200"/>
        <w:jc w:val="center"/>
        <w:rPr>
          <w:rFonts w:ascii="黑体" w:hAnsi="黑体" w:eastAsia="黑体" w:cs="黑体"/>
          <w:b/>
          <w:bCs/>
          <w:color w:val="000000"/>
          <w:sz w:val="36"/>
          <w:szCs w:val="36"/>
          <w:shd w:val="clear" w:color="auto" w:fill="FFFFFF"/>
        </w:rPr>
      </w:pPr>
      <w:r>
        <w:rPr>
          <w:rFonts w:hint="eastAsia" w:ascii="黑体" w:hAnsi="黑体" w:eastAsia="黑体" w:cs="黑体"/>
          <w:b/>
          <w:bCs/>
          <w:color w:val="000000"/>
          <w:sz w:val="36"/>
          <w:szCs w:val="36"/>
          <w:shd w:val="clear" w:color="auto" w:fill="FFFFFF"/>
        </w:rPr>
        <w:t>202</w:t>
      </w:r>
      <w:r>
        <w:rPr>
          <w:rFonts w:hint="eastAsia" w:ascii="黑体" w:hAnsi="黑体" w:eastAsia="黑体" w:cs="黑体"/>
          <w:b/>
          <w:bCs/>
          <w:color w:val="000000"/>
          <w:sz w:val="36"/>
          <w:szCs w:val="36"/>
          <w:shd w:val="clear" w:color="auto" w:fill="FFFFFF"/>
          <w:lang w:val="en-US" w:eastAsia="zh-CN"/>
        </w:rPr>
        <w:t>2</w:t>
      </w:r>
      <w:r>
        <w:rPr>
          <w:rFonts w:hint="eastAsia" w:ascii="黑体" w:hAnsi="黑体" w:eastAsia="黑体" w:cs="黑体"/>
          <w:b/>
          <w:bCs/>
          <w:color w:val="000000"/>
          <w:sz w:val="36"/>
          <w:szCs w:val="36"/>
          <w:shd w:val="clear" w:color="auto" w:fill="FFFFFF"/>
        </w:rPr>
        <w:t>年江永县</w:t>
      </w:r>
      <w:r>
        <w:rPr>
          <w:rFonts w:hint="eastAsia" w:ascii="黑体" w:hAnsi="黑体" w:eastAsia="黑体" w:cs="黑体"/>
          <w:b/>
          <w:bCs/>
          <w:color w:val="000000"/>
          <w:sz w:val="36"/>
          <w:szCs w:val="36"/>
          <w:shd w:val="clear" w:color="auto" w:fill="FFFFFF"/>
          <w:lang w:eastAsia="zh-CN"/>
        </w:rPr>
        <w:t>城乡建设引导</w:t>
      </w:r>
      <w:r>
        <w:rPr>
          <w:rFonts w:hint="eastAsia" w:ascii="黑体" w:hAnsi="黑体" w:eastAsia="黑体" w:cs="黑体"/>
          <w:b/>
          <w:bCs/>
          <w:color w:val="000000"/>
          <w:sz w:val="36"/>
          <w:szCs w:val="36"/>
          <w:shd w:val="clear" w:color="auto" w:fill="FFFFFF"/>
        </w:rPr>
        <w:t>传统村落数字博物馆专项资金绩效自评报告</w:t>
      </w:r>
    </w:p>
    <w:p>
      <w:pPr>
        <w:spacing w:line="240" w:lineRule="exact"/>
        <w:ind w:firstLine="723" w:firstLineChars="200"/>
        <w:jc w:val="center"/>
        <w:rPr>
          <w:rFonts w:ascii="黑体" w:hAnsi="黑体" w:eastAsia="黑体" w:cs="黑体"/>
          <w:b/>
          <w:bCs/>
          <w:color w:val="000000"/>
          <w:sz w:val="36"/>
          <w:szCs w:val="36"/>
          <w:shd w:val="clear" w:color="auto" w:fill="FFFFFF"/>
        </w:rPr>
      </w:pP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加强财政支出管理，提高财政资金使用效益，根据《关于全面推进预算绩效管理的意见》（湘政发[2012]33号）、《湖南省人民政府关于深化预算管理制度改革的实施意见》（湘政发[2015]8号）、《新型城镇化建设专项资金管理办法》（湘财建[2016]77号）、《中共中央国务院关于全面实施预算绩效管理的意见》（中央[2018]34号）、《湖南省人民政府办公厅关于全面实施预算绩效管理的实施意见》（湘办发[2019]10号）和《湖南省财政厅关于印发湖南省直部门预算绩效考核办法（试行）〉的通知》（湘财绩[2012]22号）、湖南省财政厅关于印发《湖南省预算支出绩效评价管理办法》的通知（湘财绩[2020]7号）、《湖南省</w:t>
      </w:r>
      <w:r>
        <w:rPr>
          <w:rFonts w:hint="eastAsia" w:ascii="仿宋_GB2312" w:hAnsi="仿宋_GB2312" w:eastAsia="仿宋_GB2312" w:cs="仿宋_GB2312"/>
          <w:color w:val="000000"/>
          <w:sz w:val="32"/>
          <w:szCs w:val="32"/>
          <w:shd w:val="clear" w:color="auto" w:fill="FFFFFF"/>
          <w:lang w:eastAsia="zh-CN"/>
        </w:rPr>
        <w:t>住房和城乡建设厅</w:t>
      </w:r>
      <w:r>
        <w:rPr>
          <w:rFonts w:hint="eastAsia" w:ascii="仿宋_GB2312" w:hAnsi="仿宋_GB2312" w:eastAsia="仿宋_GB2312" w:cs="仿宋_GB2312"/>
          <w:color w:val="000000"/>
          <w:sz w:val="32"/>
          <w:szCs w:val="32"/>
          <w:shd w:val="clear" w:color="auto" w:fill="FFFFFF"/>
        </w:rPr>
        <w:t>关于开展</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年度</w:t>
      </w:r>
      <w:r>
        <w:rPr>
          <w:rFonts w:hint="eastAsia" w:ascii="仿宋_GB2312" w:hAnsi="仿宋_GB2312" w:eastAsia="仿宋_GB2312" w:cs="仿宋_GB2312"/>
          <w:color w:val="000000"/>
          <w:sz w:val="32"/>
          <w:szCs w:val="32"/>
          <w:shd w:val="clear" w:color="auto" w:fill="FFFFFF"/>
          <w:lang w:eastAsia="zh-CN"/>
        </w:rPr>
        <w:t>住房城乡建设引导专项资金第三方绩效评价</w:t>
      </w:r>
      <w:r>
        <w:rPr>
          <w:rFonts w:hint="eastAsia" w:ascii="仿宋_GB2312" w:hAnsi="仿宋_GB2312" w:eastAsia="仿宋_GB2312" w:cs="仿宋_GB2312"/>
          <w:color w:val="000000"/>
          <w:sz w:val="32"/>
          <w:szCs w:val="32"/>
          <w:shd w:val="clear" w:color="auto" w:fill="FFFFFF"/>
        </w:rPr>
        <w:t>工作的通知》（湘</w:t>
      </w:r>
      <w:r>
        <w:rPr>
          <w:rFonts w:hint="eastAsia" w:ascii="仿宋_GB2312" w:hAnsi="仿宋_GB2312" w:eastAsia="仿宋_GB2312" w:cs="仿宋_GB2312"/>
          <w:color w:val="000000"/>
          <w:sz w:val="32"/>
          <w:szCs w:val="32"/>
          <w:shd w:val="clear" w:color="auto" w:fill="FFFFFF"/>
          <w:lang w:eastAsia="zh-CN"/>
        </w:rPr>
        <w:t>建计函</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80</w:t>
      </w:r>
      <w:r>
        <w:rPr>
          <w:rFonts w:hint="eastAsia" w:ascii="仿宋_GB2312" w:hAnsi="仿宋_GB2312" w:eastAsia="仿宋_GB2312" w:cs="仿宋_GB2312"/>
          <w:color w:val="000000"/>
          <w:sz w:val="32"/>
          <w:szCs w:val="32"/>
          <w:shd w:val="clear" w:color="auto" w:fill="FFFFFF"/>
        </w:rPr>
        <w:t>号）等文件精神，江永县住房和城乡建设局对</w:t>
      </w:r>
      <w:r>
        <w:rPr>
          <w:rFonts w:hint="eastAsia" w:ascii="仿宋_GB2312" w:hAnsi="仿宋_GB2312" w:eastAsia="仿宋_GB2312" w:cs="仿宋_GB2312"/>
          <w:color w:val="000000"/>
          <w:w w:val="97"/>
          <w:sz w:val="32"/>
          <w:szCs w:val="32"/>
          <w:lang w:eastAsia="zh-CN"/>
        </w:rPr>
        <w:t>上江圩镇河渊村，潇浦镇何家湾村，桃川镇大地坪村共三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传统村落数字博物馆项目</w:t>
      </w:r>
      <w:r>
        <w:rPr>
          <w:rFonts w:hint="eastAsia" w:ascii="仿宋_GB2312" w:hAnsi="仿宋_GB2312" w:eastAsia="仿宋_GB2312" w:cs="仿宋_GB2312"/>
          <w:kern w:val="0"/>
          <w:sz w:val="32"/>
          <w:szCs w:val="32"/>
        </w:rPr>
        <w:t>实施</w:t>
      </w:r>
      <w:r>
        <w:rPr>
          <w:rFonts w:hint="eastAsia" w:ascii="仿宋_GB2312" w:hAnsi="仿宋_GB2312" w:eastAsia="仿宋_GB2312" w:cs="仿宋_GB2312"/>
          <w:color w:val="000000"/>
          <w:sz w:val="32"/>
          <w:szCs w:val="32"/>
          <w:shd w:val="clear" w:color="auto" w:fill="FFFFFF"/>
        </w:rPr>
        <w:t>了绩效自评。绩效自评工作已按省住建厅要求完成，现将项目绩效评价情况报告如下：</w:t>
      </w:r>
    </w:p>
    <w:p>
      <w:pPr>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一、项目概况</w:t>
      </w:r>
    </w:p>
    <w:p>
      <w:pPr>
        <w:spacing w:line="480" w:lineRule="auto"/>
        <w:ind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w w:val="97"/>
          <w:sz w:val="32"/>
          <w:szCs w:val="32"/>
        </w:rPr>
        <w:t>（一）项目实施单位基本情况</w:t>
      </w:r>
    </w:p>
    <w:p>
      <w:pPr>
        <w:spacing w:line="600" w:lineRule="exact"/>
        <w:ind w:firstLine="640" w:firstLineChars="200"/>
        <w:outlineLvl w:val="0"/>
        <w:rPr>
          <w:rFonts w:ascii="仿宋_GB2312" w:hAnsi="仿宋_GB2312" w:eastAsia="仿宋_GB2312" w:cs="仿宋_GB2312"/>
          <w:color w:val="000000"/>
          <w:w w:val="97"/>
          <w:sz w:val="32"/>
          <w:szCs w:val="32"/>
        </w:rPr>
      </w:pPr>
      <w:r>
        <w:rPr>
          <w:rFonts w:ascii="仿宋" w:hAnsi="仿宋" w:eastAsia="仿宋"/>
          <w:bCs/>
          <w:color w:val="000000"/>
          <w:sz w:val="32"/>
          <w:szCs w:val="32"/>
        </w:rPr>
        <w:t>江永县</w:t>
      </w:r>
      <w:r>
        <w:rPr>
          <w:rFonts w:hint="eastAsia" w:ascii="仿宋" w:hAnsi="仿宋" w:eastAsia="仿宋"/>
          <w:bCs/>
          <w:color w:val="000000"/>
          <w:sz w:val="32"/>
          <w:szCs w:val="32"/>
        </w:rPr>
        <w:t>传统村落数字博物馆建设工作</w:t>
      </w:r>
      <w:r>
        <w:rPr>
          <w:rFonts w:ascii="仿宋" w:hAnsi="仿宋" w:eastAsia="仿宋"/>
          <w:bCs/>
          <w:color w:val="000000"/>
          <w:sz w:val="32"/>
          <w:szCs w:val="32"/>
        </w:rPr>
        <w:t>是根据省、市对</w:t>
      </w:r>
      <w:r>
        <w:rPr>
          <w:rFonts w:hint="eastAsia" w:ascii="仿宋" w:hAnsi="仿宋" w:eastAsia="仿宋"/>
          <w:bCs/>
          <w:color w:val="000000"/>
          <w:sz w:val="32"/>
          <w:szCs w:val="32"/>
        </w:rPr>
        <w:t>传统村落数字博物馆</w:t>
      </w:r>
      <w:r>
        <w:rPr>
          <w:rFonts w:ascii="仿宋" w:hAnsi="仿宋" w:eastAsia="仿宋"/>
          <w:bCs/>
          <w:color w:val="000000"/>
          <w:sz w:val="32"/>
          <w:szCs w:val="32"/>
        </w:rPr>
        <w:t>建设的工作部署和县常务会的会议精神于202</w:t>
      </w:r>
      <w:r>
        <w:rPr>
          <w:rFonts w:hint="eastAsia" w:ascii="仿宋" w:hAnsi="仿宋" w:eastAsia="仿宋"/>
          <w:bCs/>
          <w:color w:val="000000"/>
          <w:sz w:val="32"/>
          <w:szCs w:val="32"/>
          <w:lang w:val="en-US" w:eastAsia="zh-CN"/>
        </w:rPr>
        <w:t>0</w:t>
      </w:r>
      <w:r>
        <w:rPr>
          <w:rFonts w:ascii="仿宋" w:hAnsi="仿宋" w:eastAsia="仿宋"/>
          <w:bCs/>
          <w:color w:val="000000"/>
          <w:sz w:val="32"/>
          <w:szCs w:val="32"/>
        </w:rPr>
        <w:t>年开展的，主管部门是江永县人民政府，牵头单位是江永县住房</w:t>
      </w:r>
      <w:r>
        <w:rPr>
          <w:rFonts w:hint="eastAsia" w:ascii="仿宋" w:hAnsi="仿宋" w:eastAsia="仿宋"/>
          <w:bCs/>
          <w:color w:val="000000"/>
          <w:sz w:val="32"/>
          <w:szCs w:val="32"/>
        </w:rPr>
        <w:t>和城乡建设局</w:t>
      </w:r>
      <w:r>
        <w:rPr>
          <w:rFonts w:ascii="仿宋" w:hAnsi="仿宋" w:eastAsia="仿宋"/>
          <w:bCs/>
          <w:color w:val="000000"/>
          <w:sz w:val="32"/>
          <w:szCs w:val="32"/>
        </w:rPr>
        <w:t>，实施单位是江永县</w:t>
      </w:r>
      <w:r>
        <w:rPr>
          <w:rFonts w:hint="eastAsia" w:ascii="仿宋" w:hAnsi="仿宋" w:eastAsia="仿宋"/>
          <w:bCs/>
          <w:color w:val="000000"/>
          <w:sz w:val="32"/>
          <w:szCs w:val="32"/>
        </w:rPr>
        <w:t>住房和城乡建设局</w:t>
      </w:r>
      <w:r>
        <w:rPr>
          <w:rFonts w:ascii="仿宋" w:hAnsi="仿宋" w:eastAsia="仿宋"/>
          <w:bCs/>
          <w:color w:val="000000"/>
          <w:sz w:val="32"/>
          <w:szCs w:val="32"/>
        </w:rPr>
        <w:t>。</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（二）资金基本情况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年度，我县共实施了</w:t>
      </w:r>
      <w:r>
        <w:rPr>
          <w:rFonts w:hint="eastAsia" w:ascii="仿宋_GB2312" w:hAnsi="仿宋_GB2312" w:eastAsia="仿宋_GB2312" w:cs="仿宋_GB2312"/>
          <w:color w:val="000000"/>
          <w:w w:val="97"/>
          <w:sz w:val="32"/>
          <w:szCs w:val="32"/>
          <w:lang w:eastAsia="zh-CN"/>
        </w:rPr>
        <w:t>上江圩镇河渊村，潇浦镇何家湾村，桃川镇大地坪村共三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w:t>
      </w:r>
      <w:r>
        <w:rPr>
          <w:rFonts w:hint="eastAsia" w:ascii="仿宋_GB2312" w:hAnsi="仿宋_GB2312" w:eastAsia="仿宋_GB2312" w:cs="仿宋_GB2312"/>
          <w:color w:val="000000"/>
          <w:w w:val="97"/>
          <w:sz w:val="32"/>
          <w:szCs w:val="32"/>
        </w:rPr>
        <w:t>项目建设，</w:t>
      </w:r>
      <w:r>
        <w:rPr>
          <w:rFonts w:hint="eastAsia" w:ascii="仿宋_GB2312" w:hAnsi="仿宋_GB2312" w:eastAsia="仿宋_GB2312" w:cs="仿宋_GB2312"/>
          <w:color w:val="000000"/>
          <w:w w:val="97"/>
          <w:sz w:val="32"/>
          <w:szCs w:val="32"/>
          <w:lang w:eastAsia="zh-CN"/>
        </w:rPr>
        <w:t>河渊村</w:t>
      </w:r>
      <w:r>
        <w:rPr>
          <w:rFonts w:hint="eastAsia" w:ascii="仿宋_GB2312" w:hAnsi="仿宋_GB2312" w:eastAsia="仿宋_GB2312" w:cs="仿宋_GB2312"/>
          <w:color w:val="000000"/>
          <w:w w:val="97"/>
          <w:sz w:val="32"/>
          <w:szCs w:val="32"/>
        </w:rPr>
        <w:t>精品数字博物馆按</w:t>
      </w:r>
      <w:r>
        <w:rPr>
          <w:rFonts w:hint="eastAsia" w:ascii="仿宋_GB2312" w:hAnsi="仿宋_GB2312" w:eastAsia="仿宋_GB2312" w:cs="仿宋_GB2312"/>
          <w:color w:val="000000"/>
          <w:w w:val="97"/>
          <w:sz w:val="32"/>
          <w:szCs w:val="32"/>
          <w:lang w:val="en-US" w:eastAsia="zh-CN"/>
        </w:rPr>
        <w:t>9.4</w:t>
      </w:r>
      <w:r>
        <w:rPr>
          <w:rFonts w:hint="eastAsia" w:ascii="仿宋_GB2312" w:hAnsi="仿宋_GB2312" w:eastAsia="仿宋_GB2312" w:cs="仿宋_GB2312"/>
          <w:color w:val="000000"/>
          <w:w w:val="97"/>
          <w:sz w:val="32"/>
          <w:szCs w:val="32"/>
        </w:rPr>
        <w:t>万元/个投资建设，</w:t>
      </w:r>
      <w:r>
        <w:rPr>
          <w:rFonts w:hint="eastAsia" w:ascii="仿宋_GB2312" w:hAnsi="仿宋_GB2312" w:eastAsia="仿宋_GB2312" w:cs="仿宋_GB2312"/>
          <w:color w:val="000000"/>
          <w:w w:val="97"/>
          <w:sz w:val="32"/>
          <w:szCs w:val="32"/>
          <w:lang w:eastAsia="zh-CN"/>
        </w:rPr>
        <w:t>何家湾村、大地坪村</w:t>
      </w:r>
      <w:r>
        <w:rPr>
          <w:rFonts w:hint="eastAsia" w:ascii="仿宋_GB2312" w:hAnsi="仿宋_GB2312" w:eastAsia="仿宋_GB2312" w:cs="仿宋_GB2312"/>
          <w:color w:val="000000"/>
          <w:w w:val="97"/>
          <w:sz w:val="32"/>
          <w:szCs w:val="32"/>
        </w:rPr>
        <w:t>精品数字博物馆按</w:t>
      </w:r>
      <w:r>
        <w:rPr>
          <w:rFonts w:hint="eastAsia" w:ascii="仿宋_GB2312" w:hAnsi="仿宋_GB2312" w:eastAsia="仿宋_GB2312" w:cs="仿宋_GB2312"/>
          <w:color w:val="000000"/>
          <w:w w:val="97"/>
          <w:sz w:val="32"/>
          <w:szCs w:val="32"/>
          <w:lang w:val="en-US" w:eastAsia="zh-CN"/>
        </w:rPr>
        <w:t>9.6</w:t>
      </w:r>
      <w:r>
        <w:rPr>
          <w:rFonts w:hint="eastAsia" w:ascii="仿宋_GB2312" w:hAnsi="仿宋_GB2312" w:eastAsia="仿宋_GB2312" w:cs="仿宋_GB2312"/>
          <w:color w:val="000000"/>
          <w:w w:val="97"/>
          <w:sz w:val="32"/>
          <w:szCs w:val="32"/>
        </w:rPr>
        <w:t>万元/个投资建设，年度计划总投资</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万元，</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万元来自省财政厅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专项资金，其余</w:t>
      </w:r>
      <w:r>
        <w:rPr>
          <w:rFonts w:hint="eastAsia" w:ascii="仿宋_GB2312" w:hAnsi="仿宋_GB2312" w:eastAsia="仿宋_GB2312" w:cs="仿宋_GB2312"/>
          <w:color w:val="000000"/>
          <w:w w:val="97"/>
          <w:sz w:val="32"/>
          <w:szCs w:val="32"/>
          <w:lang w:val="en-US" w:eastAsia="zh-CN"/>
        </w:rPr>
        <w:t>16.6</w:t>
      </w:r>
      <w:r>
        <w:rPr>
          <w:rFonts w:hint="eastAsia" w:ascii="仿宋_GB2312" w:hAnsi="仿宋_GB2312" w:eastAsia="仿宋_GB2312" w:cs="仿宋_GB2312"/>
          <w:color w:val="000000"/>
          <w:w w:val="97"/>
          <w:sz w:val="32"/>
          <w:szCs w:val="32"/>
        </w:rPr>
        <w:t>万元全部来源县财政预算配套。</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（三）资金绩效目标</w:t>
      </w:r>
    </w:p>
    <w:p>
      <w:pPr>
        <w:spacing w:line="480" w:lineRule="auto"/>
        <w:ind w:firstLine="62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w w:val="97"/>
          <w:sz w:val="32"/>
          <w:szCs w:val="32"/>
        </w:rPr>
        <w:t>按照省厅关于湖南省中国传统村落数字博物馆建设工作的安排部署， 我县计划分三年完成全县</w:t>
      </w:r>
      <w:r>
        <w:rPr>
          <w:rFonts w:hint="eastAsia" w:ascii="仿宋_GB2312" w:hAnsi="仿宋_GB2312" w:eastAsia="仿宋_GB2312" w:cs="仿宋_GB2312"/>
          <w:color w:val="000000"/>
          <w:w w:val="97"/>
          <w:sz w:val="32"/>
          <w:szCs w:val="32"/>
          <w:lang w:val="en-US" w:eastAsia="zh-CN"/>
        </w:rPr>
        <w:t>23</w:t>
      </w:r>
      <w:r>
        <w:rPr>
          <w:rFonts w:hint="eastAsia" w:ascii="仿宋_GB2312" w:hAnsi="仿宋_GB2312" w:eastAsia="仿宋_GB2312" w:cs="仿宋_GB2312"/>
          <w:color w:val="000000"/>
          <w:w w:val="97"/>
          <w:sz w:val="32"/>
          <w:szCs w:val="32"/>
        </w:rPr>
        <w:t>个中国传统村落数字博物馆建设任务。其中，202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年计划完成</w:t>
      </w:r>
      <w:r>
        <w:rPr>
          <w:rFonts w:hint="eastAsia" w:ascii="仿宋_GB2312" w:hAnsi="仿宋_GB2312" w:eastAsia="仿宋_GB2312" w:cs="仿宋_GB2312"/>
          <w:color w:val="000000"/>
          <w:w w:val="97"/>
          <w:sz w:val="32"/>
          <w:szCs w:val="32"/>
          <w:lang w:eastAsia="zh-CN"/>
        </w:rPr>
        <w:t>河渊村、何家湾村、大地坪村共三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传统村落数字博物馆建设</w:t>
      </w:r>
      <w:r>
        <w:rPr>
          <w:rFonts w:hint="eastAsia" w:ascii="仿宋_GB2312" w:hAnsi="仿宋_GB2312" w:eastAsia="仿宋_GB2312" w:cs="仿宋_GB2312"/>
          <w:color w:val="000000"/>
          <w:w w:val="97"/>
          <w:sz w:val="32"/>
          <w:szCs w:val="32"/>
        </w:rPr>
        <w:t>，目前我县以上</w:t>
      </w:r>
      <w:r>
        <w:rPr>
          <w:rFonts w:hint="eastAsia" w:ascii="仿宋_GB2312" w:hAnsi="仿宋_GB2312" w:eastAsia="仿宋_GB2312" w:cs="仿宋_GB2312"/>
          <w:color w:val="000000"/>
          <w:w w:val="97"/>
          <w:sz w:val="32"/>
          <w:szCs w:val="32"/>
          <w:lang w:eastAsia="zh-CN"/>
        </w:rPr>
        <w:t>三</w:t>
      </w:r>
      <w:r>
        <w:rPr>
          <w:rFonts w:hint="eastAsia" w:ascii="仿宋_GB2312" w:hAnsi="仿宋_GB2312" w:eastAsia="仿宋_GB2312" w:cs="仿宋_GB2312"/>
          <w:color w:val="000000"/>
          <w:w w:val="97"/>
          <w:sz w:val="32"/>
          <w:szCs w:val="32"/>
        </w:rPr>
        <w:t>个中国传统村落数字博物馆建设工作均已完成</w:t>
      </w:r>
      <w:r>
        <w:rPr>
          <w:rFonts w:hint="eastAsia" w:ascii="仿宋_GB2312" w:hAnsi="仿宋_GB2312" w:eastAsia="仿宋_GB2312" w:cs="仿宋_GB2312"/>
          <w:color w:val="000000"/>
          <w:w w:val="97"/>
          <w:sz w:val="32"/>
          <w:szCs w:val="32"/>
          <w:lang w:eastAsia="zh-CN"/>
        </w:rPr>
        <w:t>建设</w:t>
      </w:r>
      <w:r>
        <w:rPr>
          <w:rFonts w:hint="eastAsia" w:ascii="仿宋_GB2312" w:hAnsi="仿宋_GB2312" w:eastAsia="仿宋_GB2312" w:cs="仿宋_GB2312"/>
          <w:sz w:val="32"/>
          <w:szCs w:val="32"/>
        </w:rPr>
        <w:t>。</w:t>
      </w:r>
    </w:p>
    <w:p>
      <w:pPr>
        <w:spacing w:line="48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二、项目资金使用及管理情况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（一）资金的安排落实、总投入等情况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年度，我县共实施了</w:t>
      </w:r>
      <w:r>
        <w:rPr>
          <w:rFonts w:hint="eastAsia" w:ascii="仿宋_GB2312" w:hAnsi="仿宋_GB2312" w:eastAsia="仿宋_GB2312" w:cs="仿宋_GB2312"/>
          <w:color w:val="000000"/>
          <w:w w:val="97"/>
          <w:sz w:val="32"/>
          <w:szCs w:val="32"/>
          <w:lang w:eastAsia="zh-CN"/>
        </w:rPr>
        <w:t>三</w:t>
      </w:r>
      <w:r>
        <w:rPr>
          <w:rFonts w:hint="eastAsia" w:ascii="仿宋_GB2312" w:hAnsi="仿宋_GB2312" w:eastAsia="仿宋_GB2312" w:cs="仿宋_GB2312"/>
          <w:color w:val="000000"/>
          <w:w w:val="97"/>
          <w:sz w:val="32"/>
          <w:szCs w:val="32"/>
        </w:rPr>
        <w:t>个传统村落数字博物馆项目建设，计划总投资</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万元，</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万元来自省财政厅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专项资金，其余</w:t>
      </w:r>
      <w:r>
        <w:rPr>
          <w:rFonts w:hint="eastAsia" w:ascii="仿宋_GB2312" w:hAnsi="仿宋_GB2312" w:eastAsia="仿宋_GB2312" w:cs="仿宋_GB2312"/>
          <w:color w:val="000000"/>
          <w:w w:val="97"/>
          <w:sz w:val="32"/>
          <w:szCs w:val="32"/>
          <w:lang w:val="en-US" w:eastAsia="zh-CN"/>
        </w:rPr>
        <w:t>16.6</w:t>
      </w:r>
      <w:r>
        <w:rPr>
          <w:rFonts w:hint="eastAsia" w:ascii="仿宋_GB2312" w:hAnsi="仿宋_GB2312" w:eastAsia="仿宋_GB2312" w:cs="仿宋_GB2312"/>
          <w:color w:val="000000"/>
          <w:w w:val="97"/>
          <w:sz w:val="32"/>
          <w:szCs w:val="32"/>
        </w:rPr>
        <w:t>万元全部来源县财政预算配套。目前，以上三个数字博物馆建设</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万专项资金，已全部到位。</w:t>
      </w:r>
    </w:p>
    <w:p>
      <w:pPr>
        <w:spacing w:line="480" w:lineRule="auto"/>
        <w:ind w:firstLine="620" w:firstLineChars="200"/>
        <w:rPr>
          <w:rFonts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（二）项目资金实际使用情况分析。</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本年度下达的计划用于</w:t>
      </w:r>
      <w:r>
        <w:rPr>
          <w:rFonts w:hint="eastAsia" w:ascii="仿宋_GB2312" w:hAnsi="仿宋_GB2312" w:eastAsia="仿宋_GB2312" w:cs="仿宋_GB2312"/>
          <w:color w:val="000000"/>
          <w:w w:val="97"/>
          <w:sz w:val="32"/>
          <w:szCs w:val="32"/>
          <w:lang w:eastAsia="zh-CN"/>
        </w:rPr>
        <w:t>上江圩镇河渊村，潇浦镇何家湾村，桃川镇大地坪村</w:t>
      </w:r>
      <w:r>
        <w:rPr>
          <w:rFonts w:hint="eastAsia" w:ascii="仿宋_GB2312" w:hAnsi="仿宋_GB2312" w:eastAsia="仿宋_GB2312" w:cs="仿宋_GB2312"/>
          <w:color w:val="000000"/>
          <w:w w:val="97"/>
          <w:sz w:val="32"/>
          <w:szCs w:val="32"/>
        </w:rPr>
        <w:t>传统村落</w:t>
      </w:r>
      <w:r>
        <w:rPr>
          <w:rFonts w:hint="eastAsia" w:ascii="仿宋_GB2312" w:hAnsi="仿宋_GB2312" w:eastAsia="仿宋_GB2312" w:cs="仿宋_GB2312"/>
          <w:color w:val="000000"/>
          <w:w w:val="97"/>
          <w:sz w:val="32"/>
          <w:szCs w:val="32"/>
          <w:lang w:eastAsia="zh-CN"/>
        </w:rPr>
        <w:t>精品</w:t>
      </w:r>
      <w:r>
        <w:rPr>
          <w:rFonts w:hint="eastAsia" w:ascii="仿宋_GB2312" w:hAnsi="仿宋_GB2312" w:eastAsia="仿宋_GB2312" w:cs="仿宋_GB2312"/>
          <w:color w:val="000000"/>
          <w:w w:val="97"/>
          <w:sz w:val="32"/>
          <w:szCs w:val="32"/>
        </w:rPr>
        <w:t>数字博物馆项目建设的省财政厅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万元，目前已按工程进度拨付至相关项目单位。</w:t>
      </w:r>
    </w:p>
    <w:p>
      <w:pPr>
        <w:spacing w:line="480" w:lineRule="auto"/>
        <w:ind w:firstLine="620" w:firstLineChars="200"/>
        <w:rPr>
          <w:rFonts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（三）项目资金管理情况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我局根据上级相关政策结合单位实际情况，进一步完善了财经各项规章制度，严格按照该专项资金的使用范围、禁止事项、管理和监督事项开展落实，坚持用制度规范专项资金的管理使用。在会计核算上，严格实行单独核算，单独设置会计科目进行记账管理，使专项资金来源去向明了，避免与人员、公用等本级财政预算内资金混合使用。</w:t>
      </w:r>
      <w:r>
        <w:rPr>
          <w:rFonts w:ascii="仿宋_GB2312" w:hAnsi="仿宋_GB2312" w:eastAsia="仿宋_GB2312" w:cs="仿宋_GB2312"/>
          <w:color w:val="000000"/>
          <w:w w:val="97"/>
          <w:sz w:val="32"/>
          <w:szCs w:val="32"/>
        </w:rPr>
        <w:t>同时</w:t>
      </w:r>
      <w:r>
        <w:rPr>
          <w:rFonts w:hint="eastAsia" w:ascii="仿宋_GB2312" w:hAnsi="仿宋_GB2312" w:eastAsia="仿宋_GB2312" w:cs="仿宋_GB2312"/>
          <w:color w:val="000000"/>
          <w:w w:val="97"/>
          <w:sz w:val="32"/>
          <w:szCs w:val="32"/>
        </w:rPr>
        <w:t>加强内外监督</w:t>
      </w:r>
      <w:r>
        <w:rPr>
          <w:rFonts w:ascii="仿宋_GB2312" w:hAnsi="仿宋_GB2312" w:eastAsia="仿宋_GB2312" w:cs="仿宋_GB2312"/>
          <w:color w:val="000000"/>
          <w:w w:val="97"/>
          <w:sz w:val="32"/>
          <w:szCs w:val="32"/>
        </w:rPr>
        <w:t>，</w:t>
      </w:r>
      <w:r>
        <w:rPr>
          <w:rFonts w:hint="eastAsia" w:ascii="仿宋_GB2312" w:hAnsi="仿宋_GB2312" w:eastAsia="仿宋_GB2312" w:cs="仿宋_GB2312"/>
          <w:color w:val="000000"/>
          <w:w w:val="97"/>
          <w:sz w:val="32"/>
          <w:szCs w:val="32"/>
        </w:rPr>
        <w:t>按照省市文件要求，按时填报相关资金情况报表，积极接受上级部门监督。</w:t>
      </w:r>
    </w:p>
    <w:p>
      <w:pPr>
        <w:spacing w:line="48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三、资金支持组织实施情况</w:t>
      </w:r>
    </w:p>
    <w:p>
      <w:pPr>
        <w:pStyle w:val="5"/>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我县传统村落数字博物馆建设资金实行专款专用管理。在资金管理使用上，我局严格按照各项专项资金使用用途安排该专项资金的支出使用，严格遵守“专款专用”原则，严格落实专项资金的申拨、使用审批手续，充分发挥资金使用效益。专项费用报销时除需经本单位领导层层审批外，还需送往财政部门对口股室审核盖章方予以报账。</w:t>
      </w:r>
    </w:p>
    <w:p>
      <w:pPr>
        <w:spacing w:line="48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四、资金支出绩效情况</w:t>
      </w:r>
    </w:p>
    <w:p>
      <w:pPr>
        <w:spacing w:line="480" w:lineRule="auto"/>
        <w:ind w:firstLine="62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w w:val="97"/>
          <w:sz w:val="32"/>
          <w:szCs w:val="32"/>
          <w:lang w:eastAsia="zh-CN"/>
        </w:rPr>
        <w:t>上江圩镇河渊村，潇浦镇何家湾村，桃川镇大地坪村</w:t>
      </w:r>
      <w:r>
        <w:rPr>
          <w:rFonts w:hint="eastAsia" w:ascii="仿宋_GB2312" w:hAnsi="仿宋_GB2312" w:eastAsia="仿宋_GB2312" w:cs="仿宋_GB2312"/>
          <w:color w:val="000000"/>
          <w:sz w:val="32"/>
          <w:szCs w:val="32"/>
          <w:shd w:val="clear" w:color="auto" w:fill="FFFFFF"/>
        </w:rPr>
        <w:t>数字博物馆成功上线，极大的扩大了</w:t>
      </w:r>
      <w:r>
        <w:rPr>
          <w:rFonts w:hint="eastAsia" w:ascii="仿宋_GB2312" w:hAnsi="仿宋_GB2312" w:eastAsia="仿宋_GB2312" w:cs="仿宋_GB2312"/>
          <w:color w:val="000000"/>
          <w:sz w:val="32"/>
          <w:szCs w:val="32"/>
          <w:shd w:val="clear" w:color="auto" w:fill="FFFFFF"/>
          <w:lang w:eastAsia="zh-CN"/>
        </w:rPr>
        <w:t>江永县</w:t>
      </w:r>
      <w:r>
        <w:rPr>
          <w:rFonts w:hint="eastAsia" w:ascii="仿宋_GB2312" w:hAnsi="仿宋_GB2312" w:eastAsia="仿宋_GB2312" w:cs="仿宋_GB2312"/>
          <w:color w:val="000000"/>
          <w:sz w:val="32"/>
          <w:szCs w:val="32"/>
          <w:shd w:val="clear" w:color="auto" w:fill="FFFFFF"/>
        </w:rPr>
        <w:t>传统村落文化在全国的影响传播，</w:t>
      </w:r>
      <w:r>
        <w:rPr>
          <w:rFonts w:hint="eastAsia" w:ascii="仿宋_GB2312" w:hAnsi="仿宋_GB2312" w:eastAsia="仿宋_GB2312" w:cs="仿宋_GB2312"/>
          <w:sz w:val="32"/>
          <w:szCs w:val="32"/>
        </w:rPr>
        <w:t>更好地向全世界展示江永优秀的传统村落文化遗产</w:t>
      </w:r>
      <w:r>
        <w:rPr>
          <w:rFonts w:hint="eastAsia" w:ascii="仿宋_GB2312" w:hAnsi="仿宋_GB2312" w:eastAsia="仿宋_GB2312" w:cs="仿宋_GB2312"/>
          <w:color w:val="000000"/>
          <w:sz w:val="32"/>
          <w:szCs w:val="32"/>
          <w:shd w:val="clear" w:color="auto" w:fill="FFFFFF"/>
        </w:rPr>
        <w:t>。传统村落数字博物馆就是运用网络平台、移动触屏、数字传媒等新兴媒体展示宣传，</w:t>
      </w:r>
      <w:r>
        <w:rPr>
          <w:rFonts w:hint="eastAsia" w:ascii="仿宋_GB2312" w:hAnsi="仿宋_GB2312" w:eastAsia="仿宋_GB2312" w:cs="仿宋_GB2312"/>
          <w:sz w:val="32"/>
          <w:szCs w:val="32"/>
        </w:rPr>
        <w:t>让人们足不出户就能了解本地传统村落,与村落互动,共同参与村落的保护发展。村落数字博物馆将是集中展现优秀江永传统村落的数字化平台,是向世界、全国宣传江永传统村落的舞台,是世界、全国了解江永传统文化的窗口。</w:t>
      </w:r>
      <w:r>
        <w:rPr>
          <w:rFonts w:hint="eastAsia" w:ascii="仿宋_GB2312" w:hAnsi="仿宋_GB2312" w:eastAsia="仿宋_GB2312" w:cs="仿宋_GB2312"/>
          <w:color w:val="000000"/>
          <w:sz w:val="32"/>
          <w:szCs w:val="32"/>
          <w:shd w:val="clear" w:color="auto" w:fill="FFFFFF"/>
        </w:rPr>
        <w:t>同时，项目实施也是当地发展民生、改善民生需要，可持续影响对当地旅游经济发挥更好效益。</w:t>
      </w:r>
    </w:p>
    <w:p>
      <w:pPr>
        <w:pStyle w:val="6"/>
        <w:numPr>
          <w:ilvl w:val="0"/>
          <w:numId w:val="2"/>
        </w:numPr>
        <w:spacing w:line="480" w:lineRule="auto"/>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主要经验做法、存在的问题和困难</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（一）主要经验做法</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建立传统村落保护与发展管理机制。2019年11月，由县人民政府办公室牵头修订的《江永县历史文化名村及传统村落保护和建设管理办法》经县政府会议通过，“名村及传统村落保护”被列入专章。同时，县政府进一步明晰了文物、规划、城乡建设等相关主管部门对历史文化名城、名镇、名村的管理职能，各乡镇政府也根据辖区内特色资源，成立了专门的保护管理机构。</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强化规划引领，推进保护规划编制。2020年，县住建局安排城建资金234万元，专项用于第五批（最后一批）16个中国传统村落保护发展规划编制工作，并组织相关部门及专家进行县级技术审查。目前，我县已完成18个中国传统村落保护发展规划编制，</w:t>
      </w:r>
      <w:r>
        <w:rPr>
          <w:rFonts w:hint="eastAsia" w:ascii="仿宋_GB2312" w:hAnsi="仿宋_GB2312" w:eastAsia="仿宋_GB2312" w:cs="仿宋_GB2312"/>
          <w:color w:val="000000"/>
          <w:sz w:val="32"/>
          <w:szCs w:val="32"/>
          <w:shd w:val="clear" w:color="auto" w:fill="FFFFFF"/>
          <w:lang w:eastAsia="zh-CN"/>
        </w:rPr>
        <w:t>还有</w:t>
      </w:r>
      <w:r>
        <w:rPr>
          <w:rFonts w:hint="eastAsia" w:ascii="仿宋_GB2312" w:hAnsi="仿宋_GB2312" w:eastAsia="仿宋_GB2312" w:cs="仿宋_GB2312"/>
          <w:color w:val="000000"/>
          <w:sz w:val="32"/>
          <w:szCs w:val="32"/>
          <w:shd w:val="clear" w:color="auto" w:fill="FFFFFF"/>
          <w:lang w:val="en-US" w:eastAsia="zh-CN"/>
        </w:rPr>
        <w:t>5个2022年度申报的中国传统村落保护发展规划正在编制中</w:t>
      </w:r>
      <w:r>
        <w:rPr>
          <w:rFonts w:hint="eastAsia" w:ascii="仿宋_GB2312" w:hAnsi="仿宋_GB2312" w:eastAsia="仿宋_GB2312" w:cs="仿宋_GB2312"/>
          <w:color w:val="000000"/>
          <w:sz w:val="32"/>
          <w:szCs w:val="32"/>
          <w:shd w:val="clear" w:color="auto" w:fill="FFFFFF"/>
        </w:rPr>
        <w:t xml:space="preserve">。同时，依据保护发展规划要求，编制完成了我县历史文化名村、传统村落保护整体实施方案和项目计划，确保规划内容落地生效。 </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eastAsia="zh-CN"/>
        </w:rPr>
        <w:t>完成了</w:t>
      </w:r>
      <w:r>
        <w:rPr>
          <w:rFonts w:hint="eastAsia" w:ascii="仿宋_GB2312" w:hAnsi="仿宋_GB2312" w:eastAsia="仿宋_GB2312" w:cs="仿宋_GB2312"/>
          <w:color w:val="000000"/>
          <w:sz w:val="32"/>
          <w:szCs w:val="32"/>
          <w:shd w:val="clear" w:color="auto" w:fill="FFFFFF"/>
        </w:rPr>
        <w:t>江永—中国传统村落《</w:t>
      </w:r>
      <w:r>
        <w:rPr>
          <w:rFonts w:hint="eastAsia" w:ascii="仿宋_GB2312" w:hAnsi="仿宋_GB2312" w:eastAsia="仿宋_GB2312" w:cs="仿宋_GB2312"/>
          <w:color w:val="000000"/>
          <w:sz w:val="32"/>
          <w:szCs w:val="32"/>
          <w:shd w:val="clear" w:color="auto" w:fill="FFFFFF"/>
          <w:lang w:eastAsia="zh-CN"/>
        </w:rPr>
        <w:t>岁月沉香</w:t>
      </w:r>
      <w:r>
        <w:rPr>
          <w:rFonts w:hint="eastAsia" w:ascii="仿宋_GB2312" w:hAnsi="仿宋_GB2312" w:eastAsia="仿宋_GB2312" w:cs="仿宋_GB2312"/>
          <w:color w:val="000000"/>
          <w:sz w:val="32"/>
          <w:szCs w:val="32"/>
          <w:shd w:val="clear" w:color="auto" w:fill="FFFFFF"/>
        </w:rPr>
        <w:t>》图册出版工作。2020年，由江永县传统村落保护开发项目指挥部牵头，联合县科协、县摄影协会等单位，开展了多次传统村落采风工作，完成</w:t>
      </w:r>
      <w:r>
        <w:rPr>
          <w:rFonts w:hint="eastAsia" w:ascii="仿宋_GB2312" w:hAnsi="仿宋_GB2312" w:eastAsia="仿宋_GB2312" w:cs="仿宋_GB2312"/>
          <w:color w:val="000000"/>
          <w:sz w:val="32"/>
          <w:szCs w:val="32"/>
          <w:shd w:val="clear" w:color="auto" w:fill="FFFFFF"/>
          <w:lang w:eastAsia="zh-CN"/>
        </w:rPr>
        <w:t>了</w:t>
      </w:r>
      <w:r>
        <w:rPr>
          <w:rFonts w:hint="eastAsia" w:ascii="仿宋_GB2312" w:hAnsi="仿宋_GB2312" w:eastAsia="仿宋_GB2312" w:cs="仿宋_GB2312"/>
          <w:color w:val="000000"/>
          <w:sz w:val="32"/>
          <w:szCs w:val="32"/>
          <w:shd w:val="clear" w:color="auto" w:fill="FFFFFF"/>
        </w:rPr>
        <w:t>我县</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个传统村落传统建筑影像采集和航拍工作。</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（二）存在的主要困难和问题   </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1、资金仍然缺乏。我县目前已成功中国传统村落</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个，传统村落数量和传统建筑保护规模均排在省市前列。我县属于</w:t>
      </w:r>
      <w:r>
        <w:rPr>
          <w:rFonts w:ascii="仿宋_GB2312" w:hAnsi="仿宋_GB2312" w:eastAsia="仿宋_GB2312" w:cs="仿宋_GB2312"/>
          <w:color w:val="000000"/>
          <w:sz w:val="32"/>
          <w:szCs w:val="32"/>
          <w:shd w:val="clear" w:color="auto" w:fill="FFFFFF"/>
        </w:rPr>
        <w:t>经济欠发达地区,</w:t>
      </w:r>
      <w:r>
        <w:rPr>
          <w:rFonts w:hint="eastAsia" w:ascii="仿宋_GB2312" w:hAnsi="仿宋_GB2312" w:eastAsia="仿宋_GB2312" w:cs="仿宋_GB2312"/>
          <w:color w:val="000000"/>
          <w:sz w:val="32"/>
          <w:szCs w:val="32"/>
          <w:shd w:val="clear" w:color="auto" w:fill="FFFFFF"/>
        </w:rPr>
        <w:t xml:space="preserve"> 地方财政特别困难。目前，除了为数不多的古建筑被列为各级文物保护单位，得到一定保护外，大多处于自生自灭的状态。在现行财政体制中没有设立古村落、古建筑保护、修缮专项经费的情况下，传统村落的保护和发展地方资金投入缺口仍然较大。</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宣传工作力度不够。做好传统村落保护和发展工作关键在于增强当地群众的保护意识，不管是各阶段项目实施工作还是长期的产业发展都需要当地群众充分参与。由于部分村委会对传统村落保护工作重视程度不够，宣传工作落实不到位，造成部分群众保护意识不强，一些具有保护价值的村落建筑被乱拆乱建，村落传统风貌遭到破坏，民族文化资源挖掘不充分，造成巨大的损失。   </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3、缺乏基层组织保护和技术支持。切实落实传统村落保护和发展规划是做好传统村落保护工作的基础，乡镇政府和村委会是实施好规划方案中的各个项目的工作主体。古建筑的修复技术含量和技艺要求高，部分技艺已经失传，这方面的能工巧匠匮乏。另外，乡镇的规划建设管理机构不够健全，且缺乏相应的专业人才，不能适应传统村落保护利用需要。目前，乡镇政府和村委会一级都缺乏专职专业的规划建设工作人员，有规划有方案却缺乏技术支持，很容易造成规划方案落实不到位，村落非但没有得到保护和发展，更有可能遭到破坏。 </w:t>
      </w:r>
    </w:p>
    <w:p>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六、意见及建议</w:t>
      </w:r>
    </w:p>
    <w:p>
      <w:pPr>
        <w:spacing w:line="360" w:lineRule="auto"/>
        <w:rPr>
          <w:rFonts w:hint="eastAsia"/>
          <w:sz w:val="32"/>
          <w:szCs w:val="32"/>
        </w:rPr>
      </w:pPr>
      <w:r>
        <w:rPr>
          <w:rFonts w:hint="eastAsia" w:ascii="仿宋_GB2312" w:hAnsi="仿宋_GB2312" w:eastAsia="仿宋_GB2312" w:cs="仿宋_GB2312"/>
          <w:color w:val="000000"/>
          <w:kern w:val="2"/>
          <w:sz w:val="32"/>
          <w:szCs w:val="32"/>
          <w:shd w:val="clear" w:color="auto" w:fill="FFFFFF"/>
        </w:rPr>
        <w:t>建议加大财政预算经费投入力度，补足工作经费，完善基础设施，保障各项工作顺利开展。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8F88"/>
    <w:multiLevelType w:val="singleLevel"/>
    <w:tmpl w:val="DB318F88"/>
    <w:lvl w:ilvl="0" w:tentative="0">
      <w:start w:val="3"/>
      <w:numFmt w:val="decimal"/>
      <w:suff w:val="nothing"/>
      <w:lvlText w:val="%1、"/>
      <w:lvlJc w:val="left"/>
    </w:lvl>
  </w:abstractNum>
  <w:abstractNum w:abstractNumId="1">
    <w:nsid w:val="325527C1"/>
    <w:multiLevelType w:val="multilevel"/>
    <w:tmpl w:val="325527C1"/>
    <w:lvl w:ilvl="0" w:tentative="0">
      <w:start w:val="5"/>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WI3Zjg3OGFjMDFmZDNlOTM1NmRlNzZjYzAxY2MifQ=="/>
  </w:docVars>
  <w:rsids>
    <w:rsidRoot w:val="00000000"/>
    <w:rsid w:val="52664383"/>
    <w:rsid w:val="5D3317AB"/>
    <w:rsid w:val="6433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spacing w:before="100" w:beforeAutospacing="1" w:after="100" w:afterAutospacing="1"/>
      <w:jc w:val="left"/>
    </w:pPr>
    <w:rPr>
      <w:rFonts w:hint="eastAsia" w:ascii="宋体" w:hAnsi="宋体" w:eastAsia="宋体" w:cs="宋体"/>
      <w:kern w:val="0"/>
      <w:sz w:val="24"/>
    </w:r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2032</Words>
  <Characters>2416</Characters>
  <Lines>0</Lines>
  <Paragraphs>0</Paragraphs>
  <TotalTime>0</TotalTime>
  <ScaleCrop>false</ScaleCrop>
  <LinksUpToDate>false</LinksUpToDate>
  <CharactersWithSpaces>2750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2023-03-23T00:37:00Z</dcterms:created>
  <dc:creator>Administrator</dc:creator>
  <cp:lastModifiedBy>Administrator</cp:lastModifiedBy>
  <dcterms:modified xsi:type="dcterms:W3CDTF">2024-12-23T03:55:27Z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A8387ED902904C46A9793E2D4D68CF15</vt:lpwstr>
  </property>
</Properties>
</file>