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8"/>
          <w:szCs w:val="48"/>
        </w:rPr>
      </w:pPr>
      <w:r>
        <w:rPr>
          <w:rFonts w:ascii="宋体" w:hAnsi="宋体" w:cs="宋体"/>
          <w:b/>
          <w:bCs/>
          <w:sz w:val="48"/>
          <w:szCs w:val="48"/>
        </w:rPr>
        <w:t>2022</w:t>
      </w:r>
      <w:r>
        <w:rPr>
          <w:rFonts w:hint="eastAsia" w:ascii="宋体" w:hAnsi="宋体" w:cs="宋体"/>
          <w:b/>
          <w:bCs/>
          <w:sz w:val="48"/>
          <w:szCs w:val="48"/>
        </w:rPr>
        <w:t>年度江永县住房保障服务中心</w:t>
      </w:r>
    </w:p>
    <w:p>
      <w:pPr>
        <w:jc w:val="center"/>
        <w:rPr>
          <w:rFonts w:ascii="宋体" w:cs="宋体"/>
          <w:b/>
          <w:bCs/>
          <w:sz w:val="48"/>
          <w:szCs w:val="48"/>
        </w:rPr>
      </w:pPr>
      <w:r>
        <w:rPr>
          <w:rFonts w:hint="eastAsia" w:ascii="宋体" w:hAnsi="宋体" w:cs="宋体"/>
          <w:b/>
          <w:bCs/>
          <w:sz w:val="48"/>
          <w:szCs w:val="48"/>
        </w:rPr>
        <w:t>整体支出绩效自评报告</w:t>
      </w:r>
    </w:p>
    <w:p>
      <w:pPr>
        <w:rPr>
          <w:rFonts w:eastAsia="黑体"/>
          <w:sz w:val="36"/>
          <w:szCs w:val="36"/>
        </w:rPr>
      </w:pPr>
      <w:bookmarkStart w:id="0" w:name="_GoBack"/>
      <w:bookmarkEnd w:id="0"/>
    </w:p>
    <w:p>
      <w:pPr>
        <w:jc w:val="center"/>
        <w:rPr>
          <w:rFonts w:eastAsia="黑体"/>
          <w:sz w:val="32"/>
          <w:szCs w:val="32"/>
        </w:rPr>
      </w:pP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一、基本情况</w:t>
      </w:r>
    </w:p>
    <w:p>
      <w:pPr>
        <w:spacing w:line="5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（一）部门（单位）基本情况</w:t>
      </w:r>
    </w:p>
    <w:p>
      <w:pPr>
        <w:pStyle w:val="7"/>
        <w:spacing w:line="560" w:lineRule="exact"/>
        <w:ind w:firstLine="640"/>
        <w:rPr>
          <w:rFonts w:hint="eastAsia" w:ascii="宋体" w:hAnsi="宋体" w:eastAsia="宋体" w:cs="宋体"/>
          <w:b/>
          <w:bCs/>
          <w:sz w:val="32"/>
          <w:szCs w:val="32"/>
        </w:rPr>
      </w:pPr>
      <w:r>
        <w:rPr>
          <w:rFonts w:hint="eastAsia" w:ascii="宋体" w:hAnsi="宋体" w:eastAsia="宋体" w:cs="宋体"/>
          <w:b/>
          <w:bCs/>
          <w:sz w:val="32"/>
        </w:rPr>
        <w:t>1．</w:t>
      </w:r>
      <w:r>
        <w:rPr>
          <w:rFonts w:hint="eastAsia" w:ascii="宋体" w:hAnsi="宋体" w:eastAsia="宋体" w:cs="宋体"/>
          <w:b/>
          <w:bCs/>
          <w:sz w:val="32"/>
          <w:szCs w:val="32"/>
        </w:rPr>
        <w:t>职能职责</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(1)负责全县住房保障管理工作，贯彻执行国家、省、市住房保障工作的法律、法规和政策，具体负责住房保障工作的实施。</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(2)负责全县城镇物业管理工作；负责监督检查物业管理企业的经营活动，负责指导、协调、监督全县住宅共用部位、共用设施设备维修基金的归集、使用及管理工作；指导房屋维修养护。</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(3)负责全县房屋的白蚁预防和灭治工作。</w:t>
      </w:r>
    </w:p>
    <w:p>
      <w:pPr>
        <w:spacing w:line="560" w:lineRule="exact"/>
        <w:ind w:left="958" w:leftChars="304" w:hanging="320" w:hangingChars="100"/>
        <w:rPr>
          <w:rFonts w:hint="eastAsia" w:ascii="宋体" w:hAnsi="宋体" w:eastAsia="宋体" w:cs="宋体"/>
          <w:sz w:val="32"/>
          <w:szCs w:val="32"/>
        </w:rPr>
      </w:pPr>
      <w:r>
        <w:rPr>
          <w:rFonts w:hint="eastAsia" w:ascii="宋体" w:hAnsi="宋体" w:eastAsia="宋体" w:cs="宋体"/>
          <w:sz w:val="32"/>
          <w:szCs w:val="32"/>
        </w:rPr>
        <w:t>(4)负责全县国家直管公房的管理、维修和经营工作。</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(5)管理本单位机关及所属单位人事劳资、保险、福利等有关工作，负责拟定干部职工教育培训规划并组织实施。</w:t>
      </w:r>
    </w:p>
    <w:p>
      <w:pPr>
        <w:spacing w:line="560" w:lineRule="exact"/>
        <w:ind w:firstLine="640" w:firstLineChars="200"/>
        <w:rPr>
          <w:rFonts w:hint="eastAsia" w:ascii="宋体" w:hAnsi="宋体" w:eastAsia="宋体" w:cs="宋体"/>
          <w:b/>
          <w:sz w:val="32"/>
          <w:szCs w:val="32"/>
        </w:rPr>
      </w:pPr>
      <w:r>
        <w:rPr>
          <w:rFonts w:hint="eastAsia" w:ascii="宋体" w:hAnsi="宋体" w:eastAsia="宋体" w:cs="宋体"/>
          <w:sz w:val="32"/>
          <w:szCs w:val="32"/>
        </w:rPr>
        <w:t>(6)承办县委、县政府交办的其他事项。</w:t>
      </w:r>
    </w:p>
    <w:p>
      <w:pPr>
        <w:adjustRightInd w:val="0"/>
        <w:snapToGrid w:val="0"/>
        <w:spacing w:line="5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2、机构设置和在职人员情况</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根据上述职责，江永县住房保障服务中心机关内设办公室、住房保障股、白蚁防治股三个职能股室。核定全额拨款事业</w:t>
      </w:r>
      <w:r>
        <w:rPr>
          <w:rFonts w:hint="eastAsia" w:ascii="宋体" w:hAnsi="宋体" w:eastAsia="宋体" w:cs="宋体"/>
          <w:color w:val="000000"/>
          <w:sz w:val="32"/>
          <w:szCs w:val="32"/>
        </w:rPr>
        <w:t>编制13名，2022年末有在职干部职工人员20人。</w:t>
      </w:r>
    </w:p>
    <w:p>
      <w:pPr>
        <w:numPr>
          <w:ilvl w:val="0"/>
          <w:numId w:val="1"/>
        </w:numPr>
        <w:spacing w:line="5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部门（单位）年度整体支出绩效目标，省级专项资金绩效目标、其他项目支出（除省级专项资金以外）绩效目标</w:t>
      </w:r>
    </w:p>
    <w:p>
      <w:pPr>
        <w:numPr>
          <w:ilvl w:val="0"/>
          <w:numId w:val="2"/>
        </w:numPr>
        <w:spacing w:line="560" w:lineRule="exact"/>
        <w:ind w:firstLine="640"/>
        <w:rPr>
          <w:rFonts w:hint="eastAsia" w:ascii="宋体" w:hAnsi="宋体" w:eastAsia="宋体" w:cs="宋体"/>
          <w:bCs/>
          <w:sz w:val="32"/>
          <w:szCs w:val="32"/>
        </w:rPr>
      </w:pPr>
      <w:r>
        <w:rPr>
          <w:rFonts w:hint="eastAsia" w:ascii="宋体" w:hAnsi="宋体" w:eastAsia="宋体" w:cs="宋体"/>
          <w:bCs/>
          <w:sz w:val="32"/>
          <w:szCs w:val="32"/>
        </w:rPr>
        <w:t>保障单位正常运转。</w:t>
      </w:r>
    </w:p>
    <w:p>
      <w:pPr>
        <w:numPr>
          <w:ilvl w:val="0"/>
          <w:numId w:val="2"/>
        </w:numPr>
        <w:spacing w:line="560" w:lineRule="exact"/>
        <w:ind w:firstLine="640"/>
        <w:rPr>
          <w:rFonts w:hint="eastAsia" w:ascii="宋体" w:hAnsi="宋体" w:eastAsia="宋体" w:cs="宋体"/>
          <w:bCs/>
          <w:sz w:val="32"/>
          <w:szCs w:val="32"/>
        </w:rPr>
      </w:pPr>
      <w:r>
        <w:rPr>
          <w:rFonts w:hint="eastAsia" w:ascii="宋体" w:hAnsi="宋体" w:eastAsia="宋体" w:cs="宋体"/>
          <w:bCs/>
          <w:sz w:val="32"/>
          <w:szCs w:val="32"/>
        </w:rPr>
        <w:t>管理好公租房。</w:t>
      </w:r>
    </w:p>
    <w:p>
      <w:pPr>
        <w:spacing w:line="56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3、落实好困难群众的惠民政策，及时发放房屋租赁补贴。</w:t>
      </w:r>
    </w:p>
    <w:p>
      <w:pPr>
        <w:pStyle w:val="6"/>
        <w:spacing w:line="560" w:lineRule="exact"/>
        <w:ind w:firstLine="640"/>
        <w:rPr>
          <w:rFonts w:hint="eastAsia" w:ascii="宋体" w:hAnsi="宋体" w:eastAsia="宋体" w:cs="宋体"/>
          <w:b/>
          <w:bCs/>
          <w:sz w:val="32"/>
          <w:szCs w:val="32"/>
        </w:rPr>
      </w:pPr>
      <w:r>
        <w:rPr>
          <w:rFonts w:hint="eastAsia" w:ascii="宋体" w:hAnsi="宋体" w:eastAsia="宋体" w:cs="宋体"/>
          <w:b/>
          <w:bCs/>
          <w:sz w:val="32"/>
          <w:szCs w:val="32"/>
        </w:rPr>
        <w:t>二、一般公共预算支出情况</w:t>
      </w:r>
    </w:p>
    <w:p>
      <w:pPr>
        <w:pStyle w:val="6"/>
        <w:spacing w:line="560" w:lineRule="exact"/>
        <w:ind w:firstLine="640"/>
        <w:rPr>
          <w:rFonts w:hint="eastAsia" w:ascii="宋体" w:hAnsi="宋体" w:eastAsia="宋体" w:cs="宋体"/>
          <w:sz w:val="32"/>
          <w:szCs w:val="32"/>
        </w:rPr>
      </w:pPr>
      <w:r>
        <w:rPr>
          <w:rFonts w:hint="eastAsia" w:ascii="宋体" w:hAnsi="宋体" w:eastAsia="宋体" w:cs="宋体"/>
          <w:sz w:val="32"/>
          <w:szCs w:val="32"/>
        </w:rPr>
        <w:t>2022年支出决算数为289.58万元，详细情况如下：</w:t>
      </w:r>
    </w:p>
    <w:p>
      <w:pPr>
        <w:pStyle w:val="6"/>
        <w:spacing w:line="560" w:lineRule="exact"/>
        <w:ind w:firstLine="643"/>
        <w:rPr>
          <w:rFonts w:hint="eastAsia" w:ascii="宋体" w:hAnsi="宋体" w:eastAsia="宋体" w:cs="宋体"/>
          <w:b/>
          <w:sz w:val="32"/>
          <w:szCs w:val="32"/>
        </w:rPr>
      </w:pPr>
      <w:r>
        <w:rPr>
          <w:rFonts w:hint="eastAsia" w:ascii="宋体" w:hAnsi="宋体" w:eastAsia="宋体" w:cs="宋体"/>
          <w:b/>
          <w:sz w:val="32"/>
          <w:szCs w:val="32"/>
        </w:rPr>
        <w:t>（一）基本支出情况</w:t>
      </w:r>
    </w:p>
    <w:p>
      <w:pPr>
        <w:pStyle w:val="6"/>
        <w:spacing w:line="560" w:lineRule="exact"/>
        <w:ind w:firstLine="640"/>
        <w:rPr>
          <w:rFonts w:hint="eastAsia" w:ascii="宋体" w:hAnsi="宋体" w:eastAsia="宋体" w:cs="宋体"/>
          <w:bCs/>
          <w:sz w:val="32"/>
          <w:szCs w:val="32"/>
        </w:rPr>
      </w:pPr>
      <w:r>
        <w:rPr>
          <w:rFonts w:hint="eastAsia" w:ascii="宋体" w:hAnsi="宋体" w:eastAsia="宋体" w:cs="宋体"/>
          <w:bCs/>
          <w:sz w:val="32"/>
          <w:szCs w:val="32"/>
        </w:rPr>
        <w:t>2022年基本支出166.77万元，主要用于单位人员工资、社保费、办公费、水电费、差旅费、车辆运行维护费等。</w:t>
      </w:r>
    </w:p>
    <w:p>
      <w:pPr>
        <w:pStyle w:val="6"/>
        <w:numPr>
          <w:ilvl w:val="0"/>
          <w:numId w:val="3"/>
        </w:numPr>
        <w:spacing w:line="560" w:lineRule="exact"/>
        <w:ind w:firstLine="643"/>
        <w:rPr>
          <w:rFonts w:hint="eastAsia" w:ascii="宋体" w:hAnsi="宋体" w:eastAsia="宋体" w:cs="宋体"/>
          <w:b/>
          <w:sz w:val="32"/>
          <w:szCs w:val="32"/>
        </w:rPr>
      </w:pPr>
      <w:r>
        <w:rPr>
          <w:rFonts w:hint="eastAsia" w:ascii="宋体" w:hAnsi="宋体" w:eastAsia="宋体" w:cs="宋体"/>
          <w:b/>
          <w:sz w:val="32"/>
          <w:szCs w:val="32"/>
        </w:rPr>
        <w:t>项目支出情况</w:t>
      </w:r>
    </w:p>
    <w:p>
      <w:pPr>
        <w:pStyle w:val="6"/>
        <w:spacing w:line="560" w:lineRule="exact"/>
        <w:ind w:firstLine="0" w:firstLineChars="0"/>
        <w:rPr>
          <w:rFonts w:hint="eastAsia" w:ascii="宋体" w:hAnsi="宋体" w:eastAsia="宋体" w:cs="宋体"/>
          <w:bCs/>
          <w:sz w:val="32"/>
          <w:szCs w:val="32"/>
        </w:rPr>
      </w:pPr>
      <w:r>
        <w:rPr>
          <w:rFonts w:hint="eastAsia" w:ascii="宋体" w:hAnsi="宋体" w:eastAsia="宋体" w:cs="宋体"/>
          <w:bCs/>
          <w:sz w:val="32"/>
          <w:szCs w:val="32"/>
        </w:rPr>
        <w:t xml:space="preserve">    2022年我单位项目支出122.81万元，主要用于老旧小区改造、公租房维修等。</w:t>
      </w:r>
    </w:p>
    <w:p>
      <w:pPr>
        <w:pStyle w:val="6"/>
        <w:spacing w:line="560" w:lineRule="exact"/>
        <w:ind w:left="630" w:firstLine="0" w:firstLineChars="0"/>
        <w:rPr>
          <w:rFonts w:hint="eastAsia" w:ascii="宋体" w:hAnsi="宋体" w:eastAsia="宋体" w:cs="宋体"/>
          <w:b/>
          <w:bCs/>
          <w:sz w:val="32"/>
          <w:szCs w:val="32"/>
        </w:rPr>
      </w:pPr>
      <w:r>
        <w:rPr>
          <w:rFonts w:hint="eastAsia" w:ascii="宋体" w:hAnsi="宋体" w:eastAsia="宋体" w:cs="宋体"/>
          <w:b/>
          <w:bCs/>
          <w:sz w:val="32"/>
          <w:szCs w:val="32"/>
        </w:rPr>
        <w:t>三、政府性基金预算支出情况</w:t>
      </w:r>
    </w:p>
    <w:p>
      <w:pPr>
        <w:pStyle w:val="6"/>
        <w:spacing w:line="560" w:lineRule="exact"/>
        <w:ind w:firstLine="640"/>
        <w:rPr>
          <w:rFonts w:hint="eastAsia" w:ascii="宋体" w:hAnsi="宋体" w:eastAsia="宋体" w:cs="宋体"/>
          <w:sz w:val="32"/>
          <w:szCs w:val="32"/>
        </w:rPr>
      </w:pPr>
      <w:r>
        <w:rPr>
          <w:rFonts w:hint="eastAsia" w:ascii="宋体" w:hAnsi="宋体" w:eastAsia="宋体" w:cs="宋体"/>
          <w:sz w:val="32"/>
          <w:szCs w:val="32"/>
        </w:rPr>
        <w:t>2022年度无政府性基金预算支出。</w:t>
      </w:r>
    </w:p>
    <w:p>
      <w:pPr>
        <w:pStyle w:val="6"/>
        <w:spacing w:line="560" w:lineRule="exact"/>
        <w:ind w:left="630" w:firstLine="0" w:firstLineChars="0"/>
        <w:rPr>
          <w:rFonts w:hint="eastAsia" w:ascii="宋体" w:hAnsi="宋体" w:eastAsia="宋体" w:cs="宋体"/>
          <w:b/>
          <w:bCs/>
          <w:sz w:val="32"/>
          <w:szCs w:val="32"/>
        </w:rPr>
      </w:pPr>
      <w:r>
        <w:rPr>
          <w:rFonts w:hint="eastAsia" w:ascii="宋体" w:hAnsi="宋体" w:eastAsia="宋体" w:cs="宋体"/>
          <w:b/>
          <w:bCs/>
          <w:sz w:val="32"/>
          <w:szCs w:val="32"/>
        </w:rPr>
        <w:t>四、国有资本经营预算支出情况</w:t>
      </w:r>
    </w:p>
    <w:p>
      <w:pPr>
        <w:pStyle w:val="6"/>
        <w:spacing w:line="560" w:lineRule="exact"/>
        <w:ind w:left="630" w:firstLine="0" w:firstLineChars="0"/>
        <w:rPr>
          <w:rFonts w:hint="eastAsia" w:ascii="宋体" w:hAnsi="宋体" w:eastAsia="宋体" w:cs="宋体"/>
          <w:sz w:val="32"/>
          <w:szCs w:val="32"/>
        </w:rPr>
      </w:pPr>
      <w:r>
        <w:rPr>
          <w:rFonts w:hint="eastAsia" w:ascii="宋体" w:hAnsi="宋体" w:eastAsia="宋体" w:cs="宋体"/>
          <w:sz w:val="32"/>
          <w:szCs w:val="32"/>
        </w:rPr>
        <w:t>2022年度无国有资本经营预算支出。</w:t>
      </w:r>
    </w:p>
    <w:p>
      <w:pPr>
        <w:pStyle w:val="6"/>
        <w:spacing w:line="560" w:lineRule="exact"/>
        <w:ind w:left="630" w:firstLine="0" w:firstLineChars="0"/>
        <w:rPr>
          <w:rFonts w:hint="eastAsia" w:ascii="宋体" w:hAnsi="宋体" w:eastAsia="宋体" w:cs="宋体"/>
          <w:b/>
          <w:bCs/>
          <w:sz w:val="32"/>
          <w:szCs w:val="32"/>
        </w:rPr>
      </w:pPr>
      <w:r>
        <w:rPr>
          <w:rFonts w:hint="eastAsia" w:ascii="宋体" w:hAnsi="宋体" w:eastAsia="宋体" w:cs="宋体"/>
          <w:b/>
          <w:bCs/>
          <w:sz w:val="32"/>
          <w:szCs w:val="32"/>
        </w:rPr>
        <w:t>五、社会保险基金预算支出情况</w:t>
      </w:r>
    </w:p>
    <w:p>
      <w:pPr>
        <w:pStyle w:val="6"/>
        <w:spacing w:line="560" w:lineRule="exact"/>
        <w:ind w:left="630" w:firstLine="0" w:firstLineChars="0"/>
        <w:rPr>
          <w:rFonts w:hint="eastAsia" w:ascii="宋体" w:hAnsi="宋体" w:eastAsia="宋体" w:cs="宋体"/>
          <w:sz w:val="32"/>
          <w:szCs w:val="32"/>
        </w:rPr>
      </w:pPr>
      <w:r>
        <w:rPr>
          <w:rFonts w:hint="eastAsia" w:ascii="宋体" w:hAnsi="宋体" w:eastAsia="宋体" w:cs="宋体"/>
          <w:sz w:val="32"/>
          <w:szCs w:val="32"/>
        </w:rPr>
        <w:t>2022年度无社会保险基金预算支出。</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六、部门整体支出绩效情况</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（一）运行成本方面</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我单位严格按照财政批复的预算支出，无超预算项目支出。</w:t>
      </w:r>
    </w:p>
    <w:p>
      <w:pPr>
        <w:numPr>
          <w:ilvl w:val="0"/>
          <w:numId w:val="3"/>
        </w:num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管理效率方面</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我单位按照县财政批复的用款计划支付报账资金，积极与县财政国库协调资金支付业务，极力优先保障单位重点资金支付。</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（三）履职效能方面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cs="宋体"/>
          <w:sz w:val="32"/>
          <w:szCs w:val="32"/>
          <w:lang w:val="en-US" w:eastAsia="zh-CN"/>
        </w:rPr>
        <w:t>1.</w:t>
      </w:r>
      <w:r>
        <w:rPr>
          <w:rFonts w:hint="eastAsia" w:ascii="宋体" w:hAnsi="宋体" w:eastAsia="宋体" w:cs="宋体"/>
          <w:sz w:val="32"/>
          <w:szCs w:val="32"/>
        </w:rPr>
        <w:t>保障性安居工程工作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2022年，省住建厅以湘建保函[2022]2号下达我县保障性租赁住房开工任务65套（间）、保障性租赁住房基本建成任务39套（间）、租赁补贴发放任务77户。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我县2022年保障性租赁项目为江永县永华国际8号楼商改租项目，由江永县房地产开发公司将永华国际8号楼12至16层（共65间）空置商业用房改造为保障性租赁住房，改造面积3429平方米，总投资约535万元，现已全部完成改造并出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我单位一季度发放租赁补贴76户，发放资金19890元；二季度发放77户，发放资金20010元；</w:t>
      </w:r>
      <w:r>
        <w:rPr>
          <w:rFonts w:hint="eastAsia" w:ascii="宋体" w:hAnsi="宋体" w:eastAsia="宋体" w:cs="宋体"/>
          <w:sz w:val="32"/>
          <w:szCs w:val="32"/>
          <w:lang w:val="en-US" w:eastAsia="zh-CN"/>
        </w:rPr>
        <w:t>三</w:t>
      </w:r>
      <w:r>
        <w:rPr>
          <w:rFonts w:hint="eastAsia" w:ascii="宋体" w:hAnsi="宋体" w:eastAsia="宋体" w:cs="宋体"/>
          <w:sz w:val="32"/>
          <w:szCs w:val="32"/>
        </w:rPr>
        <w:t>季度发放76户，发放资金19770元，并严格做到按季发放。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2.</w:t>
      </w:r>
      <w:r>
        <w:rPr>
          <w:rFonts w:hint="eastAsia" w:ascii="宋体" w:hAnsi="宋体" w:eastAsia="宋体" w:cs="宋体"/>
          <w:sz w:val="32"/>
          <w:szCs w:val="32"/>
          <w:lang w:val="en-US" w:eastAsia="zh-CN"/>
        </w:rPr>
        <w:t>小区物业管理工作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2022年，我单位配合县公安局，县行政审批服务局在辖区内有物业服务的小区视频资源整合接入县级联网平台；严格落实上级文件精神，加强小区消防安全防范工作，辖区内各物业服务企业积极开展消防演练，确保小区消防安全；对永华国际小区、溪岭东苑小区的消防、用电方面的问题开展重点检查，并对发现问题进行了逐一督促整改；组织全县物业公司学习《湖南省物业服务收费管理办法》、《关于规范我市物业服务收费管理的通知》，物业收费有规可依；组织辖区内物业管理行业安全生产工作视频会议并在省物业管理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3.</w:t>
      </w:r>
      <w:r>
        <w:rPr>
          <w:rFonts w:hint="eastAsia" w:ascii="宋体" w:hAnsi="宋体" w:eastAsia="宋体" w:cs="宋体"/>
          <w:sz w:val="32"/>
          <w:szCs w:val="32"/>
          <w:lang w:val="en-US" w:eastAsia="zh-CN"/>
        </w:rPr>
        <w:t>公共租赁住房管理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2022年截止到日前，已缴纳以息抵租163 户，收取以息抵租本金574.65万元，2022年度收取租金72.4万元</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按照《湖南省住房和城乡建设厅关于开展全省公租房领域安全管理专项整治工作的通知》要求，住房保障中心以“安全第一、预防为主、综合治理”为原则，开展公共租赁住房安全隐患排查、专项清理整治行动，进一步加强公租房运营管理。对城区公租房小区通道走廊堆放杂物，逐栋排查、清理，消除安全隐患，畅通居民安全出口，营造良好居住环境。城区三个公租房小区进行入户走访排查，重点对房屋使用性质、房屋结构进行检查，并向住户作安全宣传、政策宣讲，提升群众安全意识。此次公租房安全领域整治，共排查公租房548套，发现违规搭建2处，存在高空坠物风险1处，清理走廊杂物、垃圾10余车。通过此次整治，进一步了改善公租房居住环境，让住户拥有一个整洁、安全的小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根据县委、县政府的指示及疫情防控的部署，2022年来将工业园A、B、C、D、E栋全部腾出用来做疫情隔离用房，腾退时间紧，涉及企业多、人员广，腾退户数达200户之多，住房保障服务中心攻坚克难，积极做好协调工作，安抚被腾退住户的情绪，解答住户的疑惑，并积极处理相关后续租金清算问题，在任务期限内啃下这块“硬骨头”，全力配合疫情防控的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2022年8月份，江永县人才公寓正式启动，人才引进分配入住24户，新就业无房职工15户，让江永县在"吸引人才、培养人才、留住人才、服务人才"等方面创造条件、积极作为，依托"人才公寓"项目，筑巢引凤，让人才引得进、留得住，确保人才安居乐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本年度对教育系统部分校区的合建公租房进行了维修维护，如江永县第二中学、江永县桃川镇上洞中学、源口瑶族乡学校、兰溪瑶族乡学校。</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4.</w:t>
      </w:r>
      <w:r>
        <w:rPr>
          <w:rFonts w:hint="eastAsia" w:ascii="宋体" w:hAnsi="宋体" w:eastAsia="宋体" w:cs="宋体"/>
          <w:sz w:val="32"/>
          <w:szCs w:val="32"/>
          <w:lang w:val="en-US" w:eastAsia="zh-CN"/>
        </w:rPr>
        <w:t>房屋维修资金管理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2022年1-12月新增4167449.10元，新增受益业主53户，新增核准使用房屋维修资金10000.00元。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5.</w:t>
      </w:r>
      <w:r>
        <w:rPr>
          <w:rFonts w:hint="eastAsia" w:ascii="宋体" w:hAnsi="宋体" w:eastAsia="宋体" w:cs="宋体"/>
          <w:sz w:val="32"/>
          <w:szCs w:val="32"/>
          <w:lang w:val="en-US" w:eastAsia="zh-CN"/>
        </w:rPr>
        <w:t>网络舆情阵线工作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2022年截至目前，我单位答复处理26件网络舆情案件，对网络上出现的相关贴文，我单位高度重视，做到有问必回，牢牢抓住重要节点和敏感时期的舆论监管，及时搜集、研判、处置可能引发群体性事件和社会动荡言论，为网络舆论工作引导工作的开展提供坚强后盾。</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（四）社会效应方面</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我单位主管的老旧小区改造项目，彻底解决了城市老旧住宅区和城中村房屋安全隐患严重、住房功能不全，环境脏乱差、设施不配套的问题，完善了城市基础设施和公共服务功能，改善了小区居民的住房条件，优化了城市布局，提升了城市形象和城镇化质量，为城市注入新活力。</w:t>
      </w:r>
    </w:p>
    <w:p>
      <w:pPr>
        <w:spacing w:line="560" w:lineRule="exact"/>
        <w:ind w:left="420" w:leftChars="200" w:firstLine="321" w:firstLineChars="100"/>
        <w:rPr>
          <w:rFonts w:hint="eastAsia" w:ascii="宋体" w:hAnsi="宋体" w:eastAsia="宋体" w:cs="宋体"/>
          <w:b/>
          <w:bCs/>
          <w:sz w:val="32"/>
          <w:szCs w:val="32"/>
        </w:rPr>
      </w:pPr>
      <w:r>
        <w:rPr>
          <w:rFonts w:hint="eastAsia" w:ascii="宋体" w:hAnsi="宋体" w:eastAsia="宋体" w:cs="宋体"/>
          <w:b/>
          <w:bCs/>
          <w:sz w:val="32"/>
          <w:szCs w:val="32"/>
        </w:rPr>
        <w:t>（五）可持续发展能力方面</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在县委县政府的关心支持下，我单位顺利完成了机构改革，精简了职能、人员，为我单位今后更好地履行职能打下了良好的组织基础。</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（六）服务对象满意度方面</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我单位房屋维修资金系统管理正式投入使用后，房屋维修资金管理工作又提升了一个新高度，做到实时查询进账款项额度，提高了工作效益，降低了资金管理风险，缩短了业务办理时间，极大的方便了广大业主。经对来我单位办事的50名群众进行问卷调查，群众对来我单位办事的服务满意度为95%。</w:t>
      </w:r>
    </w:p>
    <w:p>
      <w:pPr>
        <w:pStyle w:val="6"/>
        <w:numPr>
          <w:ilvl w:val="0"/>
          <w:numId w:val="4"/>
        </w:numPr>
        <w:spacing w:line="560" w:lineRule="exact"/>
        <w:ind w:firstLine="640"/>
        <w:rPr>
          <w:rFonts w:hint="eastAsia" w:ascii="宋体" w:hAnsi="宋体" w:eastAsia="宋体" w:cs="宋体"/>
          <w:b/>
          <w:bCs/>
          <w:sz w:val="32"/>
          <w:szCs w:val="32"/>
        </w:rPr>
      </w:pPr>
      <w:r>
        <w:rPr>
          <w:rFonts w:hint="eastAsia" w:ascii="宋体" w:hAnsi="宋体" w:eastAsia="宋体" w:cs="宋体"/>
          <w:b/>
          <w:bCs/>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因保障性安居工程项目建设周期长，上级专项资金未能按年度全部使用完，导致7374.35万元专项资金收回国库帐户，截止2022年9月30日，我单位拖欠历年保障性安居工程项目资金约2447.375万元，保障性安居工程项目存在拖欠农民工工资问题，影响社会大局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工作人手不足，管理难度系数大。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随着我县招聘新就业无房职工的增加，公租房房源不足。</w:t>
      </w:r>
    </w:p>
    <w:p>
      <w:pPr>
        <w:numPr>
          <w:ilvl w:val="0"/>
          <w:numId w:val="4"/>
        </w:numPr>
        <w:spacing w:line="560" w:lineRule="exact"/>
        <w:ind w:firstLine="643" w:firstLineChars="200"/>
        <w:rPr>
          <w:rFonts w:hint="eastAsia" w:ascii="宋体" w:hAnsi="宋体" w:eastAsia="宋体" w:cs="宋体"/>
          <w:b/>
          <w:bCs/>
          <w:sz w:val="32"/>
          <w:szCs w:val="32"/>
          <w:shd w:val="clear" w:color="050000" w:fill="auto"/>
        </w:rPr>
      </w:pPr>
      <w:r>
        <w:rPr>
          <w:rFonts w:hint="eastAsia" w:ascii="宋体" w:hAnsi="宋体" w:eastAsia="宋体" w:cs="宋体"/>
          <w:b/>
          <w:bCs/>
          <w:sz w:val="32"/>
          <w:szCs w:val="32"/>
          <w:shd w:val="clear" w:color="050000" w:fill="auto"/>
        </w:rPr>
        <w:t>下一步改进措施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为贯彻二十大对房地产“房住不炒”和“租购并举”的定位，进一步加大保障性租赁住房的供应，我县计划申报保障性租赁住房项目4个，共171套，总投资1795万元，计划发放租赁补贴74户。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进一步加大</w:t>
      </w:r>
      <w:r>
        <w:rPr>
          <w:rFonts w:hint="eastAsia" w:ascii="宋体" w:hAnsi="宋体" w:eastAsia="宋体" w:cs="宋体"/>
          <w:sz w:val="32"/>
          <w:szCs w:val="32"/>
          <w:lang w:val="en-US" w:eastAsia="zh-CN"/>
        </w:rPr>
        <w:t>宣传学习《湖南省物业管理条例》，严格把好物业管理相关审批手续。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贯彻保障性公共租赁住房相关政策，对符合公租房申请对象做到应保尽保，对不再符合租赁条件的租赁对象进行清理清查腾退。</w:t>
      </w:r>
    </w:p>
    <w:p>
      <w:pPr>
        <w:spacing w:line="560" w:lineRule="exact"/>
        <w:ind w:left="420" w:leftChars="200" w:firstLine="321" w:firstLineChars="100"/>
        <w:rPr>
          <w:rFonts w:hint="eastAsia" w:ascii="宋体" w:hAnsi="宋体" w:eastAsia="宋体" w:cs="宋体"/>
          <w:b/>
          <w:bCs/>
          <w:sz w:val="32"/>
          <w:szCs w:val="32"/>
        </w:rPr>
      </w:pPr>
      <w:r>
        <w:rPr>
          <w:rFonts w:hint="eastAsia" w:ascii="宋体" w:hAnsi="宋体" w:eastAsia="宋体" w:cs="宋体"/>
          <w:b/>
          <w:bCs/>
          <w:sz w:val="32"/>
          <w:szCs w:val="32"/>
        </w:rPr>
        <w:t>九、绩效自评结果拟应用和公开情况</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根据县财政规定，我单位将在江永政府网公示2022年度绩效自评结果，接受社会各界的监督。</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十、其他需要说明的情况</w:t>
      </w:r>
    </w:p>
    <w:p>
      <w:pPr>
        <w:spacing w:line="560" w:lineRule="exact"/>
        <w:ind w:left="420" w:leftChars="200"/>
        <w:rPr>
          <w:rFonts w:hint="eastAsia" w:ascii="宋体" w:hAnsi="宋体" w:eastAsia="宋体" w:cs="宋体"/>
          <w:sz w:val="32"/>
          <w:szCs w:val="32"/>
        </w:rPr>
      </w:pPr>
      <w:r>
        <w:rPr>
          <w:rFonts w:hint="eastAsia" w:ascii="宋体" w:hAnsi="宋体" w:eastAsia="宋体" w:cs="宋体"/>
          <w:sz w:val="32"/>
          <w:szCs w:val="32"/>
        </w:rPr>
        <w:t xml:space="preserve"> 无。</w:t>
      </w:r>
    </w:p>
    <w:p>
      <w:pPr>
        <w:widowControl/>
        <w:rPr>
          <w:rFonts w:hint="eastAsia" w:ascii="宋体" w:hAnsi="宋体" w:eastAsia="宋体" w:cs="宋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sectPr>
      <w:pgSz w:w="11906" w:h="16838"/>
      <w:pgMar w:top="1440" w:right="1417"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14C53"/>
    <w:multiLevelType w:val="singleLevel"/>
    <w:tmpl w:val="82914C53"/>
    <w:lvl w:ilvl="0" w:tentative="0">
      <w:start w:val="2"/>
      <w:numFmt w:val="chineseCounting"/>
      <w:suff w:val="nothing"/>
      <w:lvlText w:val="（%1）"/>
      <w:lvlJc w:val="left"/>
      <w:rPr>
        <w:rFonts w:hint="eastAsia" w:cs="Times New Roman"/>
      </w:rPr>
    </w:lvl>
  </w:abstractNum>
  <w:abstractNum w:abstractNumId="1">
    <w:nsid w:val="9869A3D0"/>
    <w:multiLevelType w:val="singleLevel"/>
    <w:tmpl w:val="9869A3D0"/>
    <w:lvl w:ilvl="0" w:tentative="0">
      <w:start w:val="7"/>
      <w:numFmt w:val="chineseCounting"/>
      <w:suff w:val="nothing"/>
      <w:lvlText w:val="%1、"/>
      <w:lvlJc w:val="left"/>
      <w:rPr>
        <w:rFonts w:hint="eastAsia" w:cs="Times New Roman"/>
      </w:rPr>
    </w:lvl>
  </w:abstractNum>
  <w:abstractNum w:abstractNumId="2">
    <w:nsid w:val="0AFA0B51"/>
    <w:multiLevelType w:val="singleLevel"/>
    <w:tmpl w:val="0AFA0B51"/>
    <w:lvl w:ilvl="0" w:tentative="0">
      <w:start w:val="2"/>
      <w:numFmt w:val="chineseCounting"/>
      <w:suff w:val="nothing"/>
      <w:lvlText w:val="（%1）"/>
      <w:lvlJc w:val="left"/>
      <w:rPr>
        <w:rFonts w:hint="eastAsia" w:cs="Times New Roman"/>
      </w:rPr>
    </w:lvl>
  </w:abstractNum>
  <w:abstractNum w:abstractNumId="3">
    <w:nsid w:val="7732DE4C"/>
    <w:multiLevelType w:val="singleLevel"/>
    <w:tmpl w:val="7732DE4C"/>
    <w:lvl w:ilvl="0" w:tentative="0">
      <w:start w:val="1"/>
      <w:numFmt w:val="decimal"/>
      <w:suff w:val="nothing"/>
      <w:lvlText w:val="%1、"/>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RiNDU3NTJkOTA3Nzg3YTY2NTYxYTVlMTY5NWZmNWYifQ=="/>
  </w:docVars>
  <w:rsids>
    <w:rsidRoot w:val="1DE26AFC"/>
    <w:rsid w:val="00040489"/>
    <w:rsid w:val="000A5F77"/>
    <w:rsid w:val="000C6A1C"/>
    <w:rsid w:val="00151E46"/>
    <w:rsid w:val="001B642C"/>
    <w:rsid w:val="001C5FF0"/>
    <w:rsid w:val="002058CE"/>
    <w:rsid w:val="003662A2"/>
    <w:rsid w:val="00372329"/>
    <w:rsid w:val="003E7A82"/>
    <w:rsid w:val="00462972"/>
    <w:rsid w:val="004B320F"/>
    <w:rsid w:val="00524A96"/>
    <w:rsid w:val="00530A50"/>
    <w:rsid w:val="0055296E"/>
    <w:rsid w:val="005D0807"/>
    <w:rsid w:val="00670B31"/>
    <w:rsid w:val="006E1507"/>
    <w:rsid w:val="00837609"/>
    <w:rsid w:val="0087039E"/>
    <w:rsid w:val="00922249"/>
    <w:rsid w:val="009866A6"/>
    <w:rsid w:val="009B00D6"/>
    <w:rsid w:val="00A33906"/>
    <w:rsid w:val="00A851F9"/>
    <w:rsid w:val="00AB7016"/>
    <w:rsid w:val="00AE53B6"/>
    <w:rsid w:val="00B401BC"/>
    <w:rsid w:val="00B463C7"/>
    <w:rsid w:val="00B72DF6"/>
    <w:rsid w:val="00C278D5"/>
    <w:rsid w:val="00C57696"/>
    <w:rsid w:val="00D85919"/>
    <w:rsid w:val="00EE61C4"/>
    <w:rsid w:val="00F74799"/>
    <w:rsid w:val="00F7697E"/>
    <w:rsid w:val="00F91FF1"/>
    <w:rsid w:val="0687687D"/>
    <w:rsid w:val="0B274CC2"/>
    <w:rsid w:val="19B42B7E"/>
    <w:rsid w:val="1DE26AFC"/>
    <w:rsid w:val="214B077B"/>
    <w:rsid w:val="23791044"/>
    <w:rsid w:val="27A823E3"/>
    <w:rsid w:val="28672513"/>
    <w:rsid w:val="42FD39B8"/>
    <w:rsid w:val="44E27DBA"/>
    <w:rsid w:val="471E3B93"/>
    <w:rsid w:val="4A8D4368"/>
    <w:rsid w:val="50FD327B"/>
    <w:rsid w:val="58240FC6"/>
    <w:rsid w:val="628E7D1F"/>
    <w:rsid w:val="6E860BE1"/>
    <w:rsid w:val="6E9B7F61"/>
    <w:rsid w:val="771F040F"/>
    <w:rsid w:val="774D0A3B"/>
    <w:rsid w:val="7D9829FF"/>
    <w:rsid w:val="7DF747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
    <w:name w:val="Normal (Web)"/>
    <w:basedOn w:val="1"/>
    <w:uiPriority w:val="99"/>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99"/>
    <w:pPr>
      <w:ind w:firstLine="420" w:firstLineChars="200"/>
    </w:pPr>
    <w:rPr>
      <w:rFonts w:ascii="Calibri" w:hAnsi="Calibri"/>
      <w:szCs w:val="22"/>
    </w:rPr>
  </w:style>
  <w:style w:type="paragraph" w:customStyle="1" w:styleId="7">
    <w:name w:val="p0"/>
    <w:basedOn w:val="1"/>
    <w:qFormat/>
    <w:uiPriority w:val="99"/>
    <w:pPr>
      <w:widowControl/>
    </w:pPr>
    <w:rPr>
      <w:kern w:val="0"/>
      <w:szCs w:val="21"/>
    </w:rPr>
  </w:style>
  <w:style w:type="paragraph" w:customStyle="1" w:styleId="8">
    <w:name w:val="BodyText"/>
    <w:basedOn w:val="1"/>
    <w:qFormat/>
    <w:uiPriority w:val="99"/>
    <w:pPr>
      <w:spacing w:line="320" w:lineRule="exact"/>
      <w:jc w:val="center"/>
    </w:pPr>
  </w:style>
  <w:style w:type="character" w:customStyle="1" w:styleId="9">
    <w:name w:val="HTML Preformatted Char"/>
    <w:basedOn w:val="5"/>
    <w:link w:val="2"/>
    <w:semiHidden/>
    <w:qFormat/>
    <w:locked/>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Pages>
  <Words>2894</Words>
  <Characters>3078</Characters>
  <Lines>0</Lines>
  <Paragraphs>0</Paragraphs>
  <TotalTime>5</TotalTime>
  <ScaleCrop>false</ScaleCrop>
  <LinksUpToDate>false</LinksUpToDate>
  <CharactersWithSpaces>3085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如初</cp:lastModifiedBy>
  <dcterms:modified xsi:type="dcterms:W3CDTF">2023-03-18T01:55:49Z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96D684AD6FCD49589BFCB8FE2A1480E3</vt:lpwstr>
  </property>
</Properties>
</file>