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lang w:val="en-US" w:eastAsia="zh-CN"/>
        </w:rPr>
      </w:pPr>
      <w:bookmarkStart w:id="0" w:name="_GoBack"/>
      <w:bookmarkEnd w:id="0"/>
      <w:r>
        <w:rPr>
          <w:rFonts w:eastAsia="黑体"/>
          <w:kern w:val="0"/>
          <w:sz w:val="32"/>
          <w:szCs w:val="32"/>
        </w:rPr>
        <w:t>附件</w:t>
      </w:r>
      <w:r>
        <w:rPr>
          <w:rFonts w:hint="eastAsia" w:eastAsia="黑体"/>
          <w:kern w:val="0"/>
          <w:sz w:val="32"/>
          <w:szCs w:val="32"/>
          <w:lang w:val="en-US" w:eastAsia="zh-CN"/>
        </w:rPr>
        <w:t>6</w:t>
      </w: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lang w:val="en-US" w:eastAsia="zh-CN"/>
        </w:rPr>
        <w:t>2021</w:t>
      </w:r>
      <w:r>
        <w:rPr>
          <w:rFonts w:eastAsia="方正小标宋_GBK"/>
          <w:sz w:val="48"/>
          <w:szCs w:val="48"/>
        </w:rPr>
        <w:t>年度</w:t>
      </w:r>
      <w:r>
        <w:rPr>
          <w:rFonts w:hint="eastAsia" w:eastAsia="方正小标宋_GBK"/>
          <w:sz w:val="48"/>
          <w:szCs w:val="48"/>
          <w:lang w:eastAsia="zh-CN"/>
        </w:rPr>
        <w:t>江永县应急管理局</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eastAsia="黑体"/>
          <w:sz w:val="36"/>
          <w:szCs w:val="36"/>
        </w:rPr>
        <w:t>单位名称（盖章）：</w:t>
      </w:r>
      <w:r>
        <w:rPr>
          <w:rFonts w:hint="eastAsia" w:eastAsia="黑体"/>
          <w:sz w:val="36"/>
          <w:szCs w:val="36"/>
          <w:lang w:eastAsia="zh-CN"/>
        </w:rPr>
        <w:t>江永县应急管理局</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320" w:firstLineChars="100"/>
        <w:rPr>
          <w:rFonts w:eastAsia="黑体"/>
          <w:sz w:val="32"/>
          <w:szCs w:val="32"/>
        </w:rPr>
      </w:pPr>
    </w:p>
    <w:p>
      <w:pPr>
        <w:spacing w:line="600" w:lineRule="exact"/>
        <w:ind w:firstLine="320" w:firstLineChars="100"/>
        <w:rPr>
          <w:rFonts w:eastAsia="黑体"/>
          <w:sz w:val="32"/>
          <w:szCs w:val="32"/>
        </w:rPr>
      </w:pPr>
      <w:r>
        <w:rPr>
          <w:rFonts w:eastAsia="黑体"/>
          <w:sz w:val="32"/>
          <w:szCs w:val="32"/>
        </w:rPr>
        <w:t>一、基本情况</w:t>
      </w:r>
    </w:p>
    <w:p>
      <w:pPr>
        <w:spacing w:line="600" w:lineRule="exact"/>
        <w:ind w:firstLine="643" w:firstLineChars="200"/>
        <w:rPr>
          <w:rFonts w:hint="eastAsia" w:eastAsia="楷体_GB2312"/>
          <w:b/>
          <w:sz w:val="32"/>
          <w:szCs w:val="32"/>
          <w:lang w:eastAsia="zh-CN"/>
        </w:rPr>
      </w:pPr>
      <w:r>
        <w:rPr>
          <w:rFonts w:eastAsia="楷体_GB2312"/>
          <w:b/>
          <w:sz w:val="32"/>
          <w:szCs w:val="32"/>
        </w:rPr>
        <w:t>（一）部门（单位）基本情况</w:t>
      </w:r>
      <w:r>
        <w:rPr>
          <w:rFonts w:hint="eastAsia" w:eastAsia="楷体_GB2312"/>
          <w:b/>
          <w:sz w:val="32"/>
          <w:szCs w:val="32"/>
          <w:lang w:eastAsia="zh-CN"/>
        </w:rPr>
        <w:t>：</w:t>
      </w:r>
    </w:p>
    <w:p>
      <w:pPr>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lang w:val="en-US" w:eastAsia="zh-CN"/>
        </w:rPr>
        <w:t>1、单位机构组成、人员概况：</w:t>
      </w:r>
      <w:r>
        <w:rPr>
          <w:rFonts w:hint="eastAsia" w:ascii="仿宋" w:hAnsi="仿宋" w:eastAsia="仿宋" w:cs="仿宋_GB2312"/>
          <w:sz w:val="32"/>
          <w:szCs w:val="32"/>
        </w:rPr>
        <w:t>江永县安全生产监督管理局成立于2003年，</w:t>
      </w:r>
      <w:r>
        <w:rPr>
          <w:rFonts w:hint="eastAsia" w:ascii="仿宋" w:hAnsi="仿宋" w:eastAsia="仿宋" w:cs="仿宋_GB2312"/>
          <w:sz w:val="32"/>
          <w:szCs w:val="32"/>
          <w:lang w:val="en-US" w:eastAsia="zh-CN"/>
        </w:rPr>
        <w:t>2019年3月全县机构改革后更名为应急管理局，</w:t>
      </w:r>
      <w:r>
        <w:rPr>
          <w:rFonts w:hint="eastAsia" w:ascii="仿宋" w:hAnsi="仿宋" w:eastAsia="仿宋" w:cs="仿宋_GB2312"/>
          <w:sz w:val="32"/>
          <w:szCs w:val="32"/>
        </w:rPr>
        <w:t>是县政府的组成部门，正科级行政单位，现有在职人员</w:t>
      </w:r>
      <w:r>
        <w:rPr>
          <w:rFonts w:hint="eastAsia" w:ascii="仿宋" w:hAnsi="仿宋" w:eastAsia="仿宋" w:cs="仿宋_GB2312"/>
          <w:sz w:val="32"/>
          <w:szCs w:val="32"/>
          <w:lang w:val="en-US" w:eastAsia="zh-CN"/>
        </w:rPr>
        <w:t>48</w:t>
      </w:r>
      <w:r>
        <w:rPr>
          <w:rFonts w:hint="eastAsia" w:ascii="仿宋" w:hAnsi="仿宋" w:eastAsia="仿宋" w:cs="仿宋_GB2312"/>
          <w:sz w:val="32"/>
          <w:szCs w:val="32"/>
        </w:rPr>
        <w:t>人，退休人员</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人，设有办公室、</w:t>
      </w:r>
      <w:r>
        <w:rPr>
          <w:rFonts w:hint="eastAsia" w:ascii="仿宋" w:hAnsi="仿宋" w:eastAsia="仿宋" w:cs="仿宋_GB2312"/>
          <w:sz w:val="32"/>
          <w:szCs w:val="32"/>
          <w:lang w:eastAsia="zh-CN"/>
        </w:rPr>
        <w:t>安全生产协调股、应急指挥中心、宣传教育股、</w:t>
      </w:r>
      <w:r>
        <w:rPr>
          <w:rFonts w:hint="eastAsia" w:ascii="仿宋" w:hAnsi="仿宋" w:eastAsia="仿宋" w:cs="仿宋_GB2312"/>
          <w:sz w:val="32"/>
          <w:szCs w:val="32"/>
        </w:rPr>
        <w:t>非煤矿山股、综合法规股等十</w:t>
      </w:r>
      <w:r>
        <w:rPr>
          <w:rFonts w:hint="eastAsia" w:ascii="仿宋" w:hAnsi="仿宋" w:eastAsia="仿宋" w:cs="仿宋_GB2312"/>
          <w:sz w:val="32"/>
          <w:szCs w:val="32"/>
          <w:lang w:eastAsia="zh-CN"/>
        </w:rPr>
        <w:t>五</w:t>
      </w:r>
      <w:r>
        <w:rPr>
          <w:rFonts w:hint="eastAsia" w:ascii="仿宋" w:hAnsi="仿宋" w:eastAsia="仿宋" w:cs="仿宋_GB2312"/>
          <w:sz w:val="32"/>
          <w:szCs w:val="32"/>
        </w:rPr>
        <w:t>个股室，下设一个副科级事业单位安全生产执法大队。加挂县安全生产委员会办公室牌子。在</w:t>
      </w:r>
      <w:r>
        <w:rPr>
          <w:rFonts w:hint="eastAsia" w:ascii="仿宋" w:hAnsi="仿宋" w:eastAsia="仿宋" w:cs="仿宋_GB2312"/>
          <w:sz w:val="32"/>
          <w:szCs w:val="32"/>
          <w:lang w:eastAsia="zh-CN"/>
        </w:rPr>
        <w:t>县委县政府</w:t>
      </w:r>
      <w:r>
        <w:rPr>
          <w:rFonts w:hint="eastAsia" w:ascii="仿宋" w:hAnsi="仿宋" w:eastAsia="仿宋" w:cs="仿宋_GB2312"/>
          <w:sz w:val="32"/>
          <w:szCs w:val="32"/>
        </w:rPr>
        <w:t>的正确领导下，在省、市</w:t>
      </w:r>
      <w:r>
        <w:rPr>
          <w:rFonts w:hint="eastAsia" w:ascii="仿宋" w:hAnsi="仿宋" w:eastAsia="仿宋" w:cs="仿宋_GB2312"/>
          <w:sz w:val="32"/>
          <w:szCs w:val="32"/>
          <w:lang w:eastAsia="zh-CN"/>
        </w:rPr>
        <w:t>应急</w:t>
      </w:r>
      <w:r>
        <w:rPr>
          <w:rFonts w:hint="eastAsia" w:ascii="仿宋" w:hAnsi="仿宋" w:eastAsia="仿宋" w:cs="仿宋_GB2312"/>
          <w:sz w:val="32"/>
          <w:szCs w:val="32"/>
        </w:rPr>
        <w:t>部门精心指导下，全局人员团结一致，开拓创新，扎实工作，全县安全生产形势一直呈稳定好转的发展势态，事故起数和死亡人数逐年下降，杜绝了较大以上安全事故的发生。全县安全生产工作得到了上级的肯定，2007年至2017年期间7年被评为省或市安全生产先进县。</w:t>
      </w:r>
      <w:r>
        <w:rPr>
          <w:rFonts w:ascii="仿宋" w:hAnsi="仿宋" w:eastAsia="仿宋"/>
          <w:b/>
          <w:sz w:val="30"/>
          <w:szCs w:val="30"/>
        </w:rPr>
        <w:tab/>
      </w:r>
    </w:p>
    <w:p>
      <w:pPr>
        <w:ind w:firstLine="472" w:firstLineChars="147"/>
        <w:rPr>
          <w:rFonts w:hint="eastAsia" w:ascii="仿宋" w:hAnsi="仿宋" w:eastAsia="仿宋" w:cs="仿宋_GB2312"/>
          <w:sz w:val="32"/>
          <w:szCs w:val="32"/>
        </w:rPr>
      </w:pP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单位主要职责：</w:t>
      </w:r>
      <w:r>
        <w:rPr>
          <w:rFonts w:hint="eastAsia" w:ascii="仿宋" w:hAnsi="仿宋" w:eastAsia="仿宋" w:cs="仿宋_GB2312"/>
          <w:sz w:val="32"/>
          <w:szCs w:val="32"/>
        </w:rPr>
        <w:t>承担县安全生产</w:t>
      </w:r>
      <w:r>
        <w:rPr>
          <w:rFonts w:hint="eastAsia" w:ascii="仿宋" w:hAnsi="仿宋" w:eastAsia="仿宋" w:cs="仿宋_GB2312"/>
          <w:sz w:val="32"/>
          <w:szCs w:val="32"/>
          <w:lang w:eastAsia="zh-CN"/>
        </w:rPr>
        <w:t>委员办公室的日常工作；承担县防汛抗旱指挥部的日常工作；承担县森林防火指挥部的日常工作；负责全县应急管理工作；负责全县安全生产综合监督管理和工矿商贸行业（煤矿除外）的监督管理工作；承担县减灾委员会的日常工作。</w:t>
      </w:r>
    </w:p>
    <w:p>
      <w:pPr>
        <w:spacing w:line="600" w:lineRule="exact"/>
        <w:ind w:firstLine="643" w:firstLineChars="200"/>
        <w:rPr>
          <w:rFonts w:hint="eastAsia" w:eastAsia="楷体_GB2312"/>
          <w:b/>
          <w:sz w:val="32"/>
          <w:szCs w:val="32"/>
          <w:lang w:eastAsia="zh-CN"/>
        </w:rPr>
      </w:pPr>
    </w:p>
    <w:p>
      <w:pPr>
        <w:spacing w:line="600" w:lineRule="exact"/>
        <w:ind w:firstLine="643" w:firstLineChars="200"/>
        <w:rPr>
          <w:rFonts w:eastAsia="楷体_GB2312"/>
          <w:b/>
          <w:sz w:val="32"/>
          <w:szCs w:val="32"/>
        </w:rPr>
      </w:pPr>
    </w:p>
    <w:p>
      <w:pPr>
        <w:spacing w:line="600" w:lineRule="exact"/>
        <w:ind w:firstLine="643" w:firstLineChars="200"/>
        <w:rPr>
          <w:rFonts w:eastAsia="楷体_GB2312"/>
          <w:b/>
          <w:sz w:val="32"/>
          <w:szCs w:val="32"/>
        </w:rPr>
      </w:pPr>
    </w:p>
    <w:p>
      <w:pPr>
        <w:numPr>
          <w:ilvl w:val="0"/>
          <w:numId w:val="1"/>
        </w:numPr>
        <w:ind w:firstLine="643" w:firstLineChars="200"/>
        <w:rPr>
          <w:rFonts w:hint="eastAsia" w:eastAsia="楷体_GB2312"/>
          <w:b/>
          <w:sz w:val="32"/>
          <w:szCs w:val="32"/>
          <w:lang w:eastAsia="zh-CN"/>
        </w:rPr>
      </w:pPr>
      <w:r>
        <w:rPr>
          <w:rFonts w:eastAsia="楷体_GB2312"/>
          <w:b/>
          <w:sz w:val="32"/>
          <w:szCs w:val="32"/>
        </w:rPr>
        <w:t>部门（单位）年度整体支出绩效目标，省级专项资金绩效目标、其他项目支出（除省级专项资金以外）绩效目标</w:t>
      </w:r>
      <w:r>
        <w:rPr>
          <w:rFonts w:hint="eastAsia" w:eastAsia="楷体_GB2312"/>
          <w:b/>
          <w:sz w:val="32"/>
          <w:szCs w:val="32"/>
          <w:lang w:eastAsia="zh-CN"/>
        </w:rPr>
        <w:t>：</w:t>
      </w:r>
    </w:p>
    <w:p>
      <w:pPr>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20</w:t>
      </w:r>
      <w:r>
        <w:rPr>
          <w:rFonts w:hint="eastAsia" w:ascii="仿宋" w:hAnsi="仿宋" w:eastAsia="仿宋" w:cs="仿宋_GB2312"/>
          <w:sz w:val="32"/>
          <w:szCs w:val="32"/>
          <w:highlight w:val="none"/>
          <w:lang w:val="en-US" w:eastAsia="zh-CN"/>
        </w:rPr>
        <w:t>21</w:t>
      </w:r>
      <w:r>
        <w:rPr>
          <w:rFonts w:hint="eastAsia" w:ascii="仿宋" w:hAnsi="仿宋" w:eastAsia="仿宋" w:cs="仿宋_GB2312"/>
          <w:sz w:val="32"/>
          <w:szCs w:val="32"/>
          <w:highlight w:val="none"/>
        </w:rPr>
        <w:t>年基本支出</w:t>
      </w:r>
      <w:r>
        <w:rPr>
          <w:rFonts w:hint="eastAsia" w:ascii="仿宋" w:hAnsi="仿宋" w:eastAsia="仿宋" w:cs="仿宋_GB2312"/>
          <w:sz w:val="32"/>
          <w:szCs w:val="32"/>
          <w:highlight w:val="none"/>
          <w:lang w:val="en-US" w:eastAsia="zh-CN"/>
        </w:rPr>
        <w:t>316.54</w:t>
      </w:r>
      <w:r>
        <w:rPr>
          <w:rFonts w:hint="eastAsia" w:ascii="仿宋" w:hAnsi="仿宋" w:eastAsia="仿宋" w:cs="仿宋_GB2312"/>
          <w:sz w:val="32"/>
          <w:szCs w:val="32"/>
          <w:highlight w:val="none"/>
        </w:rPr>
        <w:t>万元，其中：工资福利支出</w:t>
      </w:r>
      <w:r>
        <w:rPr>
          <w:rFonts w:hint="eastAsia" w:ascii="仿宋" w:hAnsi="仿宋" w:eastAsia="仿宋" w:cs="仿宋_GB2312"/>
          <w:sz w:val="32"/>
          <w:szCs w:val="32"/>
          <w:highlight w:val="none"/>
          <w:lang w:val="en-US" w:eastAsia="zh-CN"/>
        </w:rPr>
        <w:t>294.74</w:t>
      </w:r>
      <w:r>
        <w:rPr>
          <w:rFonts w:hint="eastAsia" w:ascii="仿宋" w:hAnsi="仿宋" w:eastAsia="仿宋" w:cs="仿宋_GB2312"/>
          <w:sz w:val="32"/>
          <w:szCs w:val="32"/>
          <w:highlight w:val="none"/>
        </w:rPr>
        <w:t>万元（其中基本工资</w:t>
      </w:r>
      <w:r>
        <w:rPr>
          <w:rFonts w:hint="eastAsia" w:ascii="仿宋" w:hAnsi="仿宋" w:eastAsia="仿宋" w:cs="仿宋_GB2312"/>
          <w:sz w:val="32"/>
          <w:szCs w:val="32"/>
          <w:highlight w:val="none"/>
          <w:lang w:val="en-US" w:eastAsia="zh-CN"/>
        </w:rPr>
        <w:t>240.5396</w:t>
      </w:r>
      <w:r>
        <w:rPr>
          <w:rFonts w:hint="eastAsia" w:ascii="仿宋" w:hAnsi="仿宋" w:eastAsia="仿宋" w:cs="仿宋_GB2312"/>
          <w:sz w:val="32"/>
          <w:szCs w:val="32"/>
          <w:highlight w:val="none"/>
        </w:rPr>
        <w:t>万元，津贴补贴</w:t>
      </w:r>
      <w:r>
        <w:rPr>
          <w:rFonts w:hint="eastAsia" w:ascii="仿宋" w:hAnsi="仿宋" w:eastAsia="仿宋" w:cs="仿宋_GB2312"/>
          <w:sz w:val="32"/>
          <w:szCs w:val="32"/>
          <w:highlight w:val="none"/>
          <w:lang w:val="en-US" w:eastAsia="zh-CN"/>
        </w:rPr>
        <w:t>54.2004</w:t>
      </w:r>
      <w:r>
        <w:rPr>
          <w:rFonts w:hint="eastAsia" w:ascii="仿宋" w:hAnsi="仿宋" w:eastAsia="仿宋" w:cs="仿宋_GB2312"/>
          <w:sz w:val="32"/>
          <w:szCs w:val="32"/>
          <w:highlight w:val="none"/>
        </w:rPr>
        <w:t>万元）；公用经费</w:t>
      </w:r>
      <w:r>
        <w:rPr>
          <w:rFonts w:hint="eastAsia" w:ascii="仿宋" w:hAnsi="仿宋" w:eastAsia="仿宋" w:cs="仿宋_GB2312"/>
          <w:sz w:val="32"/>
          <w:szCs w:val="32"/>
          <w:highlight w:val="none"/>
          <w:lang w:val="en-US" w:eastAsia="zh-CN"/>
        </w:rPr>
        <w:t>21.8</w:t>
      </w:r>
      <w:r>
        <w:rPr>
          <w:rFonts w:hint="eastAsia" w:ascii="仿宋" w:hAnsi="仿宋" w:eastAsia="仿宋" w:cs="仿宋_GB2312"/>
          <w:sz w:val="32"/>
          <w:szCs w:val="32"/>
          <w:highlight w:val="none"/>
        </w:rPr>
        <w:t>万元，专项经费</w:t>
      </w:r>
      <w:r>
        <w:rPr>
          <w:rFonts w:hint="eastAsia" w:ascii="仿宋" w:hAnsi="仿宋" w:eastAsia="仿宋" w:cs="仿宋_GB2312"/>
          <w:sz w:val="32"/>
          <w:szCs w:val="32"/>
          <w:highlight w:val="none"/>
          <w:lang w:val="en-US" w:eastAsia="zh-CN"/>
        </w:rPr>
        <w:t>142.46</w:t>
      </w:r>
      <w:r>
        <w:rPr>
          <w:rFonts w:hint="eastAsia" w:ascii="仿宋" w:hAnsi="仿宋" w:eastAsia="仿宋" w:cs="仿宋_GB2312"/>
          <w:sz w:val="32"/>
          <w:szCs w:val="32"/>
          <w:highlight w:val="none"/>
        </w:rPr>
        <w:t>万元（其中</w:t>
      </w:r>
      <w:r>
        <w:rPr>
          <w:rFonts w:hint="eastAsia" w:ascii="仿宋" w:hAnsi="仿宋" w:eastAsia="仿宋" w:cs="仿宋_GB2312"/>
          <w:sz w:val="32"/>
          <w:szCs w:val="32"/>
          <w:highlight w:val="none"/>
          <w:lang w:eastAsia="zh-CN"/>
        </w:rPr>
        <w:t>社会化服务工作经费</w:t>
      </w:r>
      <w:r>
        <w:rPr>
          <w:rFonts w:hint="eastAsia" w:ascii="仿宋" w:hAnsi="仿宋" w:eastAsia="仿宋" w:cs="仿宋_GB2312"/>
          <w:sz w:val="32"/>
          <w:szCs w:val="32"/>
          <w:highlight w:val="none"/>
          <w:lang w:val="en-US" w:eastAsia="zh-CN"/>
        </w:rPr>
        <w:t>7.5万元</w:t>
      </w:r>
      <w:r>
        <w:rPr>
          <w:rFonts w:hint="eastAsia" w:ascii="仿宋" w:hAnsi="仿宋" w:eastAsia="仿宋" w:cs="仿宋_GB2312"/>
          <w:sz w:val="32"/>
          <w:szCs w:val="32"/>
          <w:highlight w:val="none"/>
        </w:rPr>
        <w:t>，安全生产</w:t>
      </w:r>
      <w:r>
        <w:rPr>
          <w:rFonts w:hint="eastAsia" w:ascii="仿宋" w:hAnsi="仿宋" w:eastAsia="仿宋" w:cs="仿宋_GB2312"/>
          <w:sz w:val="32"/>
          <w:szCs w:val="32"/>
          <w:highlight w:val="none"/>
          <w:lang w:eastAsia="zh-CN"/>
        </w:rPr>
        <w:t>监管岗位津贴及乡镇安监津贴</w:t>
      </w:r>
      <w:r>
        <w:rPr>
          <w:rFonts w:hint="eastAsia" w:ascii="仿宋" w:hAnsi="仿宋" w:eastAsia="仿宋" w:cs="仿宋_GB2312"/>
          <w:sz w:val="32"/>
          <w:szCs w:val="32"/>
          <w:highlight w:val="none"/>
          <w:lang w:val="en-US" w:eastAsia="zh-CN"/>
        </w:rPr>
        <w:t>27.96万元，</w:t>
      </w:r>
      <w:r>
        <w:rPr>
          <w:rFonts w:hint="eastAsia" w:ascii="仿宋" w:hAnsi="仿宋" w:eastAsia="仿宋" w:cs="仿宋_GB2312"/>
          <w:sz w:val="32"/>
          <w:szCs w:val="32"/>
          <w:highlight w:val="none"/>
        </w:rPr>
        <w:t>创省级安全生产示范县50万元，</w:t>
      </w:r>
      <w:r>
        <w:rPr>
          <w:rFonts w:hint="eastAsia" w:ascii="仿宋" w:hAnsi="仿宋" w:eastAsia="仿宋" w:cs="仿宋_GB2312"/>
          <w:sz w:val="32"/>
          <w:szCs w:val="32"/>
          <w:highlight w:val="none"/>
          <w:lang w:eastAsia="zh-CN"/>
        </w:rPr>
        <w:t>应急救援防患整改经费</w:t>
      </w:r>
      <w:r>
        <w:rPr>
          <w:rFonts w:hint="eastAsia" w:ascii="仿宋" w:hAnsi="仿宋" w:eastAsia="仿宋" w:cs="仿宋_GB2312"/>
          <w:sz w:val="32"/>
          <w:szCs w:val="32"/>
          <w:highlight w:val="none"/>
          <w:lang w:val="en-US" w:eastAsia="zh-CN"/>
        </w:rPr>
        <w:t>20万元，森林防火事务17万元，防汛工作专项经费20万元</w:t>
      </w:r>
      <w:r>
        <w:rPr>
          <w:rFonts w:hint="eastAsia" w:ascii="仿宋" w:hAnsi="仿宋" w:eastAsia="仿宋" w:cs="仿宋_GB2312"/>
          <w:sz w:val="32"/>
          <w:szCs w:val="32"/>
          <w:highlight w:val="none"/>
        </w:rPr>
        <w:t>）。</w:t>
      </w:r>
    </w:p>
    <w:p>
      <w:pPr>
        <w:numPr>
          <w:ilvl w:val="0"/>
          <w:numId w:val="0"/>
        </w:numPr>
        <w:ind w:firstLine="640" w:firstLineChars="200"/>
        <w:rPr>
          <w:rFonts w:hint="eastAsia" w:ascii="仿宋" w:hAnsi="仿宋" w:eastAsia="仿宋" w:cs="仿宋_GB2312"/>
          <w:sz w:val="32"/>
          <w:szCs w:val="32"/>
          <w:highlight w:val="yellow"/>
        </w:rPr>
      </w:pPr>
    </w:p>
    <w:p>
      <w:pPr>
        <w:spacing w:line="600" w:lineRule="exact"/>
        <w:ind w:firstLine="643" w:firstLineChars="200"/>
        <w:rPr>
          <w:rFonts w:hint="eastAsia" w:eastAsia="楷体_GB2312"/>
          <w:b/>
          <w:sz w:val="32"/>
          <w:szCs w:val="32"/>
          <w:lang w:eastAsia="zh-CN"/>
        </w:rPr>
      </w:pPr>
    </w:p>
    <w:p>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4"/>
        <w:spacing w:line="600" w:lineRule="exact"/>
        <w:ind w:firstLine="643"/>
        <w:rPr>
          <w:rFonts w:hint="eastAsia" w:ascii="Times New Roman" w:hAnsi="Times New Roman" w:eastAsia="楷体_GB2312"/>
          <w:b/>
          <w:sz w:val="32"/>
          <w:szCs w:val="32"/>
          <w:lang w:eastAsia="zh-CN"/>
        </w:rPr>
      </w:pPr>
      <w:r>
        <w:rPr>
          <w:rFonts w:ascii="Times New Roman" w:hAnsi="Times New Roman" w:eastAsia="楷体_GB2312"/>
          <w:b/>
          <w:sz w:val="32"/>
          <w:szCs w:val="32"/>
        </w:rPr>
        <w:t>（一）基本支出情况</w:t>
      </w:r>
      <w:r>
        <w:rPr>
          <w:rFonts w:hint="eastAsia" w:ascii="Times New Roman" w:hAnsi="Times New Roman" w:eastAsia="楷体_GB2312"/>
          <w:b/>
          <w:sz w:val="32"/>
          <w:szCs w:val="32"/>
          <w:lang w:eastAsia="zh-CN"/>
        </w:rPr>
        <w:t>：</w:t>
      </w:r>
      <w:r>
        <w:rPr>
          <w:rFonts w:hint="eastAsia" w:ascii="仿宋" w:hAnsi="仿宋" w:eastAsia="仿宋"/>
          <w:sz w:val="32"/>
        </w:rPr>
        <w:t>基本支出</w:t>
      </w:r>
      <w:r>
        <w:rPr>
          <w:rFonts w:hint="eastAsia" w:ascii="仿宋" w:hAnsi="仿宋" w:eastAsia="仿宋" w:cs="仿宋_GB2312"/>
          <w:sz w:val="32"/>
          <w:szCs w:val="32"/>
          <w:highlight w:val="none"/>
          <w:lang w:val="en-US" w:eastAsia="zh-CN"/>
        </w:rPr>
        <w:t>316.54</w:t>
      </w:r>
      <w:r>
        <w:rPr>
          <w:rFonts w:hint="eastAsia" w:ascii="仿宋" w:hAnsi="仿宋" w:eastAsia="仿宋"/>
          <w:sz w:val="32"/>
        </w:rPr>
        <w:t>万元，其中工资福利支出</w:t>
      </w:r>
      <w:r>
        <w:rPr>
          <w:rFonts w:hint="eastAsia" w:ascii="仿宋" w:hAnsi="仿宋" w:eastAsia="仿宋" w:cs="仿宋_GB2312"/>
          <w:sz w:val="32"/>
          <w:szCs w:val="32"/>
          <w:highlight w:val="none"/>
          <w:lang w:val="en-US" w:eastAsia="zh-CN"/>
        </w:rPr>
        <w:t>294.74</w:t>
      </w:r>
      <w:r>
        <w:rPr>
          <w:rFonts w:hint="eastAsia" w:ascii="仿宋" w:hAnsi="仿宋" w:eastAsia="仿宋"/>
          <w:sz w:val="32"/>
        </w:rPr>
        <w:t>万元；一般商品和服务支出</w:t>
      </w:r>
      <w:r>
        <w:rPr>
          <w:rFonts w:hint="eastAsia" w:ascii="仿宋" w:hAnsi="仿宋" w:eastAsia="仿宋"/>
          <w:sz w:val="32"/>
          <w:lang w:val="en-US" w:eastAsia="zh-CN"/>
        </w:rPr>
        <w:t>21.8</w:t>
      </w:r>
      <w:r>
        <w:rPr>
          <w:rFonts w:hint="eastAsia" w:ascii="仿宋" w:hAnsi="仿宋" w:eastAsia="仿宋"/>
          <w:sz w:val="32"/>
        </w:rPr>
        <w:t>万元</w:t>
      </w:r>
    </w:p>
    <w:p>
      <w:pPr>
        <w:numPr>
          <w:ilvl w:val="0"/>
          <w:numId w:val="0"/>
        </w:numPr>
        <w:autoSpaceDN w:val="0"/>
        <w:spacing w:before="100" w:beforeLines="0" w:beforeAutospacing="1" w:after="100" w:afterLines="0" w:afterAutospacing="1"/>
        <w:ind w:left="640" w:leftChars="0"/>
        <w:rPr>
          <w:rFonts w:hint="eastAsia" w:ascii="仿宋" w:hAnsi="仿宋" w:eastAsia="仿宋"/>
          <w:sz w:val="32"/>
        </w:rPr>
      </w:pPr>
      <w:r>
        <w:rPr>
          <w:rFonts w:ascii="Times New Roman" w:hAnsi="Times New Roman" w:eastAsia="楷体_GB2312"/>
          <w:b/>
          <w:sz w:val="32"/>
          <w:szCs w:val="32"/>
        </w:rPr>
        <w:t>（二）项目支出情况</w:t>
      </w:r>
      <w:r>
        <w:rPr>
          <w:rFonts w:hint="eastAsia" w:ascii="Times New Roman" w:hAnsi="Times New Roman" w:eastAsia="楷体_GB2312"/>
          <w:b/>
          <w:sz w:val="32"/>
          <w:szCs w:val="32"/>
          <w:lang w:eastAsia="zh-CN"/>
        </w:rPr>
        <w:t>：</w:t>
      </w:r>
      <w:r>
        <w:rPr>
          <w:rFonts w:hint="eastAsia" w:ascii="仿宋" w:hAnsi="仿宋" w:eastAsia="仿宋"/>
          <w:sz w:val="32"/>
        </w:rPr>
        <w:t>项目支出</w:t>
      </w:r>
      <w:r>
        <w:rPr>
          <w:rFonts w:hint="eastAsia" w:ascii="仿宋" w:hAnsi="仿宋" w:eastAsia="仿宋"/>
          <w:sz w:val="32"/>
          <w:lang w:val="en-US" w:eastAsia="zh-CN"/>
        </w:rPr>
        <w:t>149.96</w:t>
      </w:r>
      <w:r>
        <w:rPr>
          <w:rFonts w:hint="eastAsia" w:ascii="仿宋" w:hAnsi="仿宋" w:eastAsia="仿宋"/>
          <w:sz w:val="32"/>
        </w:rPr>
        <w:t>万元。</w:t>
      </w:r>
    </w:p>
    <w:p>
      <w:pPr>
        <w:numPr>
          <w:ilvl w:val="0"/>
          <w:numId w:val="0"/>
        </w:numPr>
        <w:autoSpaceDN w:val="0"/>
        <w:spacing w:before="100" w:beforeLines="0" w:beforeAutospacing="1" w:after="100" w:afterLines="0" w:afterAutospacing="1"/>
        <w:ind w:left="640" w:leftChars="0"/>
        <w:rPr>
          <w:rFonts w:hint="eastAsia" w:ascii="Times New Roman" w:hAnsi="Times New Roman" w:eastAsia="黑体"/>
          <w:sz w:val="32"/>
          <w:szCs w:val="32"/>
          <w:lang w:eastAsia="zh-CN"/>
        </w:rPr>
      </w:pPr>
      <w:r>
        <w:rPr>
          <w:rFonts w:ascii="Times New Roman" w:hAnsi="Times New Roman" w:eastAsia="黑体"/>
          <w:sz w:val="32"/>
          <w:szCs w:val="32"/>
        </w:rPr>
        <w:t>三、政府性基金预算支出情况</w:t>
      </w:r>
      <w:r>
        <w:rPr>
          <w:rFonts w:hint="eastAsia" w:ascii="Times New Roman" w:hAnsi="Times New Roman" w:eastAsia="黑体"/>
          <w:sz w:val="32"/>
          <w:szCs w:val="32"/>
          <w:lang w:eastAsia="zh-CN"/>
        </w:rPr>
        <w:t>：无。</w:t>
      </w:r>
    </w:p>
    <w:p>
      <w:pPr>
        <w:numPr>
          <w:ilvl w:val="0"/>
          <w:numId w:val="0"/>
        </w:numPr>
        <w:autoSpaceDN w:val="0"/>
        <w:spacing w:before="100" w:beforeLines="0" w:beforeAutospacing="1" w:after="100" w:afterLines="0" w:afterAutospacing="1"/>
        <w:ind w:left="640" w:leftChars="0"/>
        <w:rPr>
          <w:rFonts w:hint="eastAsia" w:ascii="Times New Roman" w:hAnsi="Times New Roman" w:eastAsia="黑体"/>
          <w:sz w:val="32"/>
          <w:szCs w:val="32"/>
          <w:lang w:eastAsia="zh-CN"/>
        </w:rPr>
      </w:pPr>
      <w:r>
        <w:rPr>
          <w:rFonts w:ascii="Times New Roman" w:hAnsi="Times New Roman" w:eastAsia="黑体"/>
          <w:sz w:val="32"/>
          <w:szCs w:val="32"/>
        </w:rPr>
        <w:t>四、国有资本经营预算支出情况</w:t>
      </w:r>
      <w:r>
        <w:rPr>
          <w:rFonts w:hint="eastAsia" w:ascii="Times New Roman" w:hAnsi="Times New Roman" w:eastAsia="黑体"/>
          <w:sz w:val="32"/>
          <w:szCs w:val="32"/>
          <w:lang w:eastAsia="zh-CN"/>
        </w:rPr>
        <w:t>：无。</w:t>
      </w:r>
    </w:p>
    <w:p>
      <w:pPr>
        <w:pStyle w:val="4"/>
        <w:spacing w:line="600" w:lineRule="exact"/>
        <w:ind w:firstLine="640"/>
        <w:rPr>
          <w:rFonts w:hint="eastAsia" w:ascii="Times New Roman" w:hAnsi="Times New Roman" w:eastAsia="黑体"/>
          <w:sz w:val="32"/>
          <w:szCs w:val="32"/>
          <w:lang w:eastAsia="zh-CN"/>
        </w:rPr>
      </w:pPr>
      <w:r>
        <w:rPr>
          <w:rFonts w:ascii="Times New Roman" w:hAnsi="Times New Roman" w:eastAsia="黑体"/>
          <w:sz w:val="32"/>
          <w:szCs w:val="32"/>
        </w:rPr>
        <w:t>五、社会保险基金预算支出情况</w:t>
      </w:r>
      <w:r>
        <w:rPr>
          <w:rFonts w:hint="eastAsia" w:ascii="Times New Roman" w:hAnsi="Times New Roman" w:eastAsia="黑体"/>
          <w:sz w:val="32"/>
          <w:szCs w:val="32"/>
          <w:lang w:eastAsia="zh-CN"/>
        </w:rPr>
        <w:t>：无。</w:t>
      </w:r>
    </w:p>
    <w:p>
      <w:pPr>
        <w:spacing w:line="600" w:lineRule="exact"/>
        <w:ind w:firstLine="640" w:firstLineChars="200"/>
        <w:rPr>
          <w:rFonts w:eastAsia="黑体"/>
          <w:sz w:val="32"/>
          <w:szCs w:val="32"/>
        </w:rPr>
      </w:pPr>
    </w:p>
    <w:p>
      <w:pPr>
        <w:spacing w:line="600" w:lineRule="exact"/>
        <w:ind w:firstLine="640" w:firstLineChars="200"/>
        <w:rPr>
          <w:rFonts w:hint="eastAsia" w:eastAsia="黑体"/>
          <w:sz w:val="32"/>
          <w:szCs w:val="32"/>
          <w:lang w:eastAsia="zh-CN"/>
        </w:rPr>
      </w:pPr>
      <w:r>
        <w:rPr>
          <w:rFonts w:eastAsia="黑体"/>
          <w:sz w:val="32"/>
          <w:szCs w:val="32"/>
        </w:rPr>
        <w:t>六、部门整体支出绩效情况</w:t>
      </w:r>
      <w:r>
        <w:rPr>
          <w:rFonts w:hint="eastAsia" w:eastAsia="黑体"/>
          <w:sz w:val="32"/>
          <w:szCs w:val="32"/>
          <w:lang w:eastAsia="zh-CN"/>
        </w:rPr>
        <w:t>：</w:t>
      </w:r>
    </w:p>
    <w:p>
      <w:pPr>
        <w:spacing w:line="600" w:lineRule="exact"/>
        <w:ind w:firstLine="643" w:firstLineChars="200"/>
        <w:rPr>
          <w:rFonts w:hint="eastAsia" w:ascii="仿宋" w:hAnsi="仿宋" w:eastAsia="仿宋" w:cs="仿宋"/>
          <w:i w:val="0"/>
          <w:caps w:val="0"/>
          <w:color w:val="535353"/>
          <w:spacing w:val="0"/>
          <w:sz w:val="32"/>
          <w:szCs w:val="32"/>
          <w:u w:val="none"/>
          <w:shd w:val="clear" w:color="auto" w:fill="FFFFFF"/>
        </w:rPr>
      </w:pPr>
      <w:r>
        <w:rPr>
          <w:rFonts w:ascii="楷体" w:hAnsi="楷体" w:eastAsia="楷体" w:cs="楷体"/>
          <w:b/>
          <w:i w:val="0"/>
          <w:caps w:val="0"/>
          <w:color w:val="000000"/>
          <w:spacing w:val="0"/>
          <w:sz w:val="32"/>
          <w:szCs w:val="32"/>
          <w:u w:val="none"/>
          <w:shd w:val="clear" w:color="auto" w:fill="FFFFFF"/>
        </w:rPr>
        <w:t>1、</w:t>
      </w:r>
      <w:r>
        <w:rPr>
          <w:rFonts w:hint="eastAsia" w:ascii="楷体" w:hAnsi="楷体" w:eastAsia="楷体" w:cs="楷体"/>
          <w:b/>
          <w:i w:val="0"/>
          <w:caps w:val="0"/>
          <w:color w:val="000000"/>
          <w:spacing w:val="0"/>
          <w:sz w:val="32"/>
          <w:szCs w:val="32"/>
          <w:u w:val="none"/>
          <w:shd w:val="clear" w:color="auto" w:fill="FFFFFF"/>
        </w:rPr>
        <w:t>健全安全生产责任体系。</w:t>
      </w:r>
      <w:r>
        <w:rPr>
          <w:rFonts w:ascii="仿宋" w:hAnsi="仿宋" w:eastAsia="仿宋" w:cs="仿宋"/>
          <w:i w:val="0"/>
          <w:caps w:val="0"/>
          <w:color w:val="000000"/>
          <w:spacing w:val="0"/>
          <w:sz w:val="32"/>
          <w:szCs w:val="32"/>
          <w:u w:val="none"/>
          <w:shd w:val="clear" w:color="auto" w:fill="FFFFFF"/>
        </w:rPr>
        <w:t>一是推动党委、政府领导责任落实；二是按照</w:t>
      </w:r>
      <w:r>
        <w:rPr>
          <w:rFonts w:hint="eastAsia" w:ascii="仿宋" w:hAnsi="仿宋" w:eastAsia="仿宋" w:cs="仿宋"/>
          <w:i w:val="0"/>
          <w:caps w:val="0"/>
          <w:color w:val="000000"/>
          <w:spacing w:val="0"/>
          <w:sz w:val="32"/>
          <w:szCs w:val="32"/>
          <w:u w:val="none"/>
          <w:shd w:val="clear" w:color="auto" w:fill="FFFFFF"/>
        </w:rPr>
        <w:t>“管行业必须管安全”责任制要求，明确部门安全生产职责，推动部门监管责任落实；三是制定出台</w:t>
      </w:r>
      <w:r>
        <w:rPr>
          <w:rFonts w:hint="eastAsia" w:ascii="仿宋" w:hAnsi="仿宋" w:eastAsia="仿宋" w:cs="仿宋"/>
          <w:i w:val="0"/>
          <w:caps w:val="0"/>
          <w:color w:val="000000"/>
          <w:spacing w:val="0"/>
          <w:sz w:val="32"/>
          <w:szCs w:val="32"/>
          <w:u w:val="none"/>
          <w:shd w:val="clear" w:color="auto" w:fill="FFFFFF"/>
          <w:lang w:eastAsia="zh-CN"/>
        </w:rPr>
        <w:t>方案</w:t>
      </w:r>
      <w:r>
        <w:rPr>
          <w:rFonts w:hint="eastAsia" w:ascii="仿宋" w:hAnsi="仿宋" w:eastAsia="仿宋" w:cs="仿宋"/>
          <w:i w:val="0"/>
          <w:caps w:val="0"/>
          <w:color w:val="535353"/>
          <w:spacing w:val="0"/>
          <w:sz w:val="32"/>
          <w:szCs w:val="32"/>
          <w:u w:val="none"/>
          <w:shd w:val="clear" w:color="auto" w:fill="FFFFFF"/>
        </w:rPr>
        <w:t>，建立企业安全生产管理制度，推动企业主体责任落实。</w:t>
      </w:r>
    </w:p>
    <w:p>
      <w:pPr>
        <w:spacing w:line="600" w:lineRule="exact"/>
        <w:ind w:firstLine="643" w:firstLineChars="200"/>
        <w:rPr>
          <w:rFonts w:ascii="仿宋_GB2312" w:hAnsi="仿宋" w:eastAsia="仿宋_GB2312" w:cs="仿宋_GB2312"/>
          <w:i w:val="0"/>
          <w:caps w:val="0"/>
          <w:color w:val="535353"/>
          <w:spacing w:val="0"/>
          <w:sz w:val="32"/>
          <w:szCs w:val="32"/>
          <w:u w:val="none"/>
          <w:shd w:val="clear" w:color="auto" w:fill="FFFFFF"/>
        </w:rPr>
      </w:pPr>
      <w:r>
        <w:rPr>
          <w:rFonts w:ascii="楷体" w:hAnsi="楷体" w:eastAsia="楷体" w:cs="楷体"/>
          <w:b/>
          <w:i w:val="0"/>
          <w:caps w:val="0"/>
          <w:color w:val="000000"/>
          <w:spacing w:val="0"/>
          <w:sz w:val="32"/>
          <w:szCs w:val="32"/>
          <w:u w:val="none"/>
          <w:shd w:val="clear" w:color="auto" w:fill="FFFFFF"/>
        </w:rPr>
        <w:t>2、</w:t>
      </w:r>
      <w:r>
        <w:rPr>
          <w:rFonts w:hint="eastAsia" w:ascii="楷体" w:hAnsi="楷体" w:eastAsia="楷体" w:cs="楷体"/>
          <w:b/>
          <w:i w:val="0"/>
          <w:caps w:val="0"/>
          <w:color w:val="000000"/>
          <w:spacing w:val="0"/>
          <w:sz w:val="32"/>
          <w:szCs w:val="32"/>
          <w:u w:val="none"/>
          <w:shd w:val="clear" w:color="auto" w:fill="FFFFFF"/>
        </w:rPr>
        <w:t>深化安全生产领域改革。</w:t>
      </w:r>
      <w:r>
        <w:rPr>
          <w:rFonts w:ascii="仿宋_GB2312" w:hAnsi="仿宋" w:eastAsia="仿宋_GB2312" w:cs="仿宋_GB2312"/>
          <w:i w:val="0"/>
          <w:caps w:val="0"/>
          <w:color w:val="535353"/>
          <w:spacing w:val="0"/>
          <w:sz w:val="32"/>
          <w:szCs w:val="32"/>
          <w:u w:val="none"/>
          <w:shd w:val="clear" w:color="auto" w:fill="FFFFFF"/>
        </w:rPr>
        <w:t>建立安全风险分级管控和隐患排查治理双重预防机制。制定各行业领域企业安全风险分级管控和隐患排查治理标准及实施指南，严格重大隐患警示约谈、挂牌督办、公告、整改、评估制度，强化监督执法。进一步完善全区重大危险源（危险化学品）和安全生产隐患监管体系，实现精准监管。</w:t>
      </w:r>
    </w:p>
    <w:p>
      <w:pPr>
        <w:spacing w:line="600" w:lineRule="exact"/>
        <w:ind w:firstLine="643" w:firstLineChars="200"/>
        <w:rPr>
          <w:rFonts w:hint="default" w:ascii="仿宋" w:hAnsi="仿宋" w:eastAsia="仿宋" w:cs="仿宋"/>
          <w:i w:val="0"/>
          <w:caps w:val="0"/>
          <w:color w:val="535353"/>
          <w:spacing w:val="0"/>
          <w:sz w:val="32"/>
          <w:szCs w:val="32"/>
          <w:u w:val="none"/>
          <w:shd w:val="clear" w:color="auto" w:fill="FFFFFF"/>
          <w:lang w:val="en-US" w:eastAsia="zh-CN"/>
        </w:rPr>
      </w:pPr>
      <w:r>
        <w:rPr>
          <w:rFonts w:hint="eastAsia" w:ascii="楷体" w:hAnsi="楷体" w:eastAsia="楷体" w:cs="楷体"/>
          <w:b/>
          <w:i w:val="0"/>
          <w:caps w:val="0"/>
          <w:color w:val="000000"/>
          <w:spacing w:val="0"/>
          <w:sz w:val="32"/>
          <w:szCs w:val="32"/>
          <w:u w:val="none"/>
          <w:shd w:val="clear" w:color="auto" w:fill="FFFFFF"/>
          <w:lang w:val="en-US" w:eastAsia="zh-CN"/>
        </w:rPr>
        <w:t>3</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强化重点行业风险防控。</w:t>
      </w:r>
      <w:r>
        <w:rPr>
          <w:rFonts w:ascii="仿宋" w:hAnsi="仿宋" w:eastAsia="仿宋" w:cs="仿宋"/>
          <w:b/>
          <w:i w:val="0"/>
          <w:caps w:val="0"/>
          <w:color w:val="000000"/>
          <w:spacing w:val="0"/>
          <w:sz w:val="32"/>
          <w:szCs w:val="32"/>
          <w:u w:val="none"/>
          <w:shd w:val="clear" w:color="auto" w:fill="FFFFFF"/>
        </w:rPr>
        <w:t>烟花爆竹领域</w:t>
      </w:r>
      <w:r>
        <w:rPr>
          <w:rFonts w:hint="eastAsia" w:ascii="仿宋" w:hAnsi="仿宋" w:eastAsia="仿宋" w:cs="仿宋"/>
          <w:i w:val="0"/>
          <w:caps w:val="0"/>
          <w:color w:val="535353"/>
          <w:spacing w:val="0"/>
          <w:sz w:val="32"/>
          <w:szCs w:val="32"/>
          <w:u w:val="none"/>
          <w:shd w:val="clear" w:color="auto" w:fill="FFFFFF"/>
          <w:lang w:eastAsia="zh-CN"/>
        </w:rPr>
        <w:t>检查企业</w:t>
      </w:r>
      <w:r>
        <w:rPr>
          <w:rFonts w:hint="eastAsia" w:ascii="仿宋" w:hAnsi="仿宋" w:eastAsia="仿宋" w:cs="仿宋"/>
          <w:i w:val="0"/>
          <w:caps w:val="0"/>
          <w:color w:val="535353"/>
          <w:spacing w:val="0"/>
          <w:sz w:val="32"/>
          <w:szCs w:val="32"/>
          <w:u w:val="none"/>
          <w:shd w:val="clear" w:color="auto" w:fill="FFFFFF"/>
          <w:lang w:val="en-US" w:eastAsia="zh-CN"/>
        </w:rPr>
        <w:t>220家，发现隐患300个，“打非治维”60起，专项整治4个，隐患排查率达到95%以上。</w:t>
      </w:r>
    </w:p>
    <w:p>
      <w:pPr>
        <w:spacing w:line="600" w:lineRule="exact"/>
        <w:ind w:firstLine="643" w:firstLineChars="200"/>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楷体" w:hAnsi="楷体" w:eastAsia="楷体" w:cs="楷体"/>
          <w:b/>
          <w:i w:val="0"/>
          <w:caps w:val="0"/>
          <w:color w:val="000000"/>
          <w:spacing w:val="0"/>
          <w:sz w:val="32"/>
          <w:szCs w:val="32"/>
          <w:u w:val="none"/>
          <w:shd w:val="clear" w:color="auto" w:fill="FFFFFF"/>
          <w:lang w:val="en-US" w:eastAsia="zh-CN"/>
        </w:rPr>
        <w:t>4</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加大安全生产宣教。</w:t>
      </w:r>
      <w:r>
        <w:rPr>
          <w:rFonts w:ascii="仿宋" w:hAnsi="仿宋" w:eastAsia="仿宋" w:cs="仿宋"/>
          <w:i w:val="0"/>
          <w:caps w:val="0"/>
          <w:color w:val="000000"/>
          <w:spacing w:val="0"/>
          <w:sz w:val="32"/>
          <w:szCs w:val="32"/>
          <w:u w:val="none"/>
          <w:shd w:val="clear" w:color="auto" w:fill="FFFFFF"/>
        </w:rPr>
        <w:t>开展安全生产</w:t>
      </w:r>
      <w:r>
        <w:rPr>
          <w:rFonts w:hint="eastAsia" w:ascii="仿宋" w:hAnsi="仿宋" w:eastAsia="仿宋" w:cs="仿宋"/>
          <w:i w:val="0"/>
          <w:caps w:val="0"/>
          <w:color w:val="000000"/>
          <w:spacing w:val="0"/>
          <w:sz w:val="32"/>
          <w:szCs w:val="32"/>
          <w:u w:val="none"/>
          <w:shd w:val="clear" w:color="auto" w:fill="FFFFFF"/>
          <w:lang w:eastAsia="zh-CN"/>
        </w:rPr>
        <w:t>月</w:t>
      </w:r>
      <w:r>
        <w:rPr>
          <w:rFonts w:ascii="仿宋" w:hAnsi="仿宋" w:eastAsia="仿宋" w:cs="仿宋"/>
          <w:i w:val="0"/>
          <w:caps w:val="0"/>
          <w:color w:val="000000"/>
          <w:spacing w:val="0"/>
          <w:sz w:val="32"/>
          <w:szCs w:val="32"/>
          <w:u w:val="none"/>
          <w:shd w:val="clear" w:color="auto" w:fill="FFFFFF"/>
        </w:rPr>
        <w:t>活动</w:t>
      </w:r>
      <w:r>
        <w:rPr>
          <w:rFonts w:hint="eastAsia" w:ascii="仿宋" w:hAnsi="仿宋" w:eastAsia="仿宋" w:cs="仿宋"/>
          <w:i w:val="0"/>
          <w:caps w:val="0"/>
          <w:color w:val="000000"/>
          <w:spacing w:val="0"/>
          <w:sz w:val="32"/>
          <w:szCs w:val="32"/>
          <w:u w:val="none"/>
          <w:shd w:val="clear" w:color="auto" w:fill="FFFFFF"/>
        </w:rPr>
        <w:t>，</w:t>
      </w:r>
      <w:r>
        <w:rPr>
          <w:rFonts w:hint="eastAsia" w:ascii="仿宋" w:hAnsi="仿宋" w:eastAsia="仿宋" w:cs="仿宋"/>
          <w:i w:val="0"/>
          <w:caps w:val="0"/>
          <w:color w:val="535353"/>
          <w:spacing w:val="0"/>
          <w:sz w:val="32"/>
          <w:szCs w:val="32"/>
          <w:u w:val="none"/>
          <w:shd w:val="clear" w:color="auto" w:fill="FFFFFF"/>
        </w:rPr>
        <w:t>全区共悬挂宣传横幅</w:t>
      </w:r>
      <w:r>
        <w:rPr>
          <w:rFonts w:hint="eastAsia" w:ascii="仿宋" w:hAnsi="仿宋" w:eastAsia="仿宋" w:cs="仿宋"/>
          <w:i w:val="0"/>
          <w:caps w:val="0"/>
          <w:color w:val="535353"/>
          <w:spacing w:val="0"/>
          <w:sz w:val="32"/>
          <w:szCs w:val="32"/>
          <w:u w:val="none"/>
          <w:shd w:val="clear" w:color="auto" w:fill="FFFFFF"/>
          <w:lang w:val="en-US" w:eastAsia="zh-CN"/>
        </w:rPr>
        <w:t>300</w:t>
      </w:r>
      <w:r>
        <w:rPr>
          <w:rFonts w:hint="eastAsia" w:ascii="仿宋" w:hAnsi="仿宋" w:eastAsia="仿宋" w:cs="仿宋"/>
          <w:i w:val="0"/>
          <w:caps w:val="0"/>
          <w:color w:val="535353"/>
          <w:spacing w:val="0"/>
          <w:sz w:val="32"/>
          <w:szCs w:val="32"/>
          <w:u w:val="none"/>
          <w:shd w:val="clear" w:color="auto" w:fill="FFFFFF"/>
        </w:rPr>
        <w:t>余条、发放各类宣传</w:t>
      </w:r>
      <w:r>
        <w:rPr>
          <w:rFonts w:hint="eastAsia" w:ascii="仿宋" w:hAnsi="仿宋" w:eastAsia="仿宋" w:cs="仿宋"/>
          <w:i w:val="0"/>
          <w:caps w:val="0"/>
          <w:color w:val="535353"/>
          <w:spacing w:val="0"/>
          <w:sz w:val="32"/>
          <w:szCs w:val="32"/>
          <w:u w:val="none"/>
          <w:shd w:val="clear" w:color="auto" w:fill="FFFFFF"/>
          <w:lang w:eastAsia="zh-CN"/>
        </w:rPr>
        <w:t>手册</w:t>
      </w:r>
      <w:r>
        <w:rPr>
          <w:rFonts w:hint="eastAsia" w:ascii="仿宋" w:hAnsi="仿宋" w:eastAsia="仿宋" w:cs="仿宋"/>
          <w:i w:val="0"/>
          <w:caps w:val="0"/>
          <w:color w:val="535353"/>
          <w:spacing w:val="0"/>
          <w:sz w:val="32"/>
          <w:szCs w:val="32"/>
          <w:u w:val="none"/>
          <w:shd w:val="clear" w:color="auto" w:fill="FFFFFF"/>
          <w:lang w:val="en-US" w:eastAsia="zh-CN"/>
        </w:rPr>
        <w:t>2</w:t>
      </w:r>
      <w:r>
        <w:rPr>
          <w:rFonts w:hint="eastAsia" w:ascii="仿宋" w:hAnsi="仿宋" w:eastAsia="仿宋" w:cs="仿宋"/>
          <w:i w:val="0"/>
          <w:caps w:val="0"/>
          <w:color w:val="535353"/>
          <w:spacing w:val="0"/>
          <w:sz w:val="32"/>
          <w:szCs w:val="32"/>
          <w:u w:val="none"/>
          <w:shd w:val="clear" w:color="auto" w:fill="FFFFFF"/>
        </w:rPr>
        <w:t>万份</w:t>
      </w:r>
      <w:r>
        <w:rPr>
          <w:rFonts w:hint="eastAsia" w:ascii="仿宋" w:hAnsi="仿宋" w:eastAsia="仿宋" w:cs="仿宋"/>
          <w:i w:val="0"/>
          <w:caps w:val="0"/>
          <w:color w:val="000000"/>
          <w:spacing w:val="0"/>
          <w:sz w:val="32"/>
          <w:szCs w:val="32"/>
          <w:u w:val="none"/>
          <w:shd w:val="clear" w:color="auto" w:fill="FFFFFF"/>
        </w:rPr>
        <w:t>。</w:t>
      </w:r>
      <w:r>
        <w:rPr>
          <w:rFonts w:hint="eastAsia" w:ascii="仿宋" w:hAnsi="仿宋" w:eastAsia="仿宋" w:cs="仿宋"/>
          <w:i w:val="0"/>
          <w:caps w:val="0"/>
          <w:color w:val="000000"/>
          <w:spacing w:val="0"/>
          <w:sz w:val="32"/>
          <w:szCs w:val="32"/>
          <w:u w:val="none"/>
          <w:shd w:val="clear" w:color="auto" w:fill="FFFFFF"/>
          <w:lang w:eastAsia="zh-CN"/>
        </w:rPr>
        <w:t>在公众号发布文章</w:t>
      </w:r>
      <w:r>
        <w:rPr>
          <w:rFonts w:hint="eastAsia" w:ascii="仿宋" w:hAnsi="仿宋" w:eastAsia="仿宋" w:cs="仿宋"/>
          <w:i w:val="0"/>
          <w:caps w:val="0"/>
          <w:color w:val="000000"/>
          <w:spacing w:val="0"/>
          <w:sz w:val="32"/>
          <w:szCs w:val="32"/>
          <w:u w:val="none"/>
          <w:shd w:val="clear" w:color="auto" w:fill="FFFFFF"/>
          <w:lang w:val="en-US" w:eastAsia="zh-CN"/>
        </w:rPr>
        <w:t>300余篇。</w:t>
      </w:r>
    </w:p>
    <w:p>
      <w:pPr>
        <w:spacing w:line="600" w:lineRule="exact"/>
        <w:ind w:firstLine="643" w:firstLineChars="200"/>
        <w:rPr>
          <w:rFonts w:hint="eastAsia" w:ascii="仿宋" w:hAnsi="仿宋" w:eastAsia="仿宋" w:cs="仿宋"/>
          <w:i w:val="0"/>
          <w:caps w:val="0"/>
          <w:color w:val="535353"/>
          <w:spacing w:val="0"/>
          <w:sz w:val="32"/>
          <w:szCs w:val="32"/>
          <w:u w:val="none"/>
          <w:shd w:val="clear" w:color="auto" w:fill="FFFFFF"/>
          <w:lang w:eastAsia="zh-CN"/>
        </w:rPr>
      </w:pPr>
      <w:r>
        <w:rPr>
          <w:rFonts w:hint="eastAsia" w:ascii="楷体" w:hAnsi="楷体" w:eastAsia="楷体" w:cs="楷体"/>
          <w:b/>
          <w:i w:val="0"/>
          <w:caps w:val="0"/>
          <w:color w:val="000000"/>
          <w:spacing w:val="0"/>
          <w:sz w:val="32"/>
          <w:szCs w:val="32"/>
          <w:u w:val="none"/>
          <w:shd w:val="clear" w:color="auto" w:fill="FFFFFF"/>
          <w:lang w:val="en-US" w:eastAsia="zh-CN"/>
        </w:rPr>
        <w:t>5</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加强灾情信息预警。</w:t>
      </w:r>
      <w:r>
        <w:rPr>
          <w:rFonts w:ascii="仿宋" w:hAnsi="仿宋" w:eastAsia="仿宋" w:cs="仿宋"/>
          <w:i w:val="0"/>
          <w:caps w:val="0"/>
          <w:color w:val="000000"/>
          <w:spacing w:val="0"/>
          <w:sz w:val="32"/>
          <w:szCs w:val="32"/>
          <w:u w:val="none"/>
          <w:shd w:val="clear" w:color="auto" w:fill="FFFFFF"/>
        </w:rPr>
        <w:t>建立灾情预警预报制度，加大灾情预警预报力度，及时发布自然灾害预警信息，同时要求各乡镇、区直有关部门严格执行应急管理</w:t>
      </w:r>
      <w:r>
        <w:rPr>
          <w:rFonts w:hint="eastAsia" w:ascii="仿宋" w:hAnsi="仿宋" w:eastAsia="仿宋" w:cs="仿宋"/>
          <w:i w:val="0"/>
          <w:caps w:val="0"/>
          <w:color w:val="000000"/>
          <w:spacing w:val="0"/>
          <w:sz w:val="32"/>
          <w:szCs w:val="32"/>
          <w:u w:val="none"/>
          <w:shd w:val="clear" w:color="auto" w:fill="FFFFFF"/>
        </w:rPr>
        <w:t>24小时值班值守制度，落实领导带班和值班备勤制度，确保政令畅通，上报灾情数据要及时准确</w:t>
      </w:r>
    </w:p>
    <w:p>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numPr>
          <w:ilvl w:val="0"/>
          <w:numId w:val="2"/>
        </w:num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w:t>
      </w:r>
      <w:r>
        <w:rPr>
          <w:rFonts w:hint="eastAsia" w:ascii="仿宋" w:hAnsi="仿宋" w:eastAsia="仿宋" w:cs="仿宋_GB2312"/>
          <w:sz w:val="32"/>
          <w:szCs w:val="32"/>
          <w:lang w:eastAsia="zh-CN"/>
        </w:rPr>
        <w:t>应急管理</w:t>
      </w:r>
      <w:r>
        <w:rPr>
          <w:rFonts w:hint="eastAsia" w:ascii="仿宋" w:hAnsi="仿宋" w:eastAsia="仿宋" w:cs="仿宋_GB2312"/>
          <w:sz w:val="32"/>
          <w:szCs w:val="32"/>
        </w:rPr>
        <w:t>局</w:t>
      </w:r>
      <w:r>
        <w:rPr>
          <w:rFonts w:hint="eastAsia" w:ascii="仿宋" w:hAnsi="仿宋" w:eastAsia="仿宋" w:cs="仿宋_GB2312"/>
          <w:sz w:val="32"/>
          <w:szCs w:val="32"/>
          <w:lang w:eastAsia="zh-CN"/>
        </w:rPr>
        <w:t>缺少</w:t>
      </w:r>
      <w:r>
        <w:rPr>
          <w:rFonts w:hint="eastAsia" w:ascii="仿宋" w:hAnsi="仿宋" w:eastAsia="仿宋" w:cs="仿宋_GB2312"/>
          <w:sz w:val="32"/>
          <w:szCs w:val="32"/>
        </w:rPr>
        <w:t>专业技术人员</w:t>
      </w:r>
      <w:r>
        <w:rPr>
          <w:rFonts w:hint="eastAsia" w:ascii="仿宋" w:hAnsi="仿宋" w:eastAsia="仿宋" w:cs="仿宋_GB2312"/>
          <w:sz w:val="32"/>
          <w:szCs w:val="32"/>
          <w:lang w:eastAsia="zh-CN"/>
        </w:rPr>
        <w:t>力量</w:t>
      </w:r>
      <w:r>
        <w:rPr>
          <w:rFonts w:hint="eastAsia" w:ascii="仿宋" w:hAnsi="仿宋" w:eastAsia="仿宋" w:cs="仿宋_GB2312"/>
          <w:sz w:val="32"/>
          <w:szCs w:val="32"/>
        </w:rPr>
        <w:t>；经费不足，影响了安全生产工作的正常开展；办公条件简陋。</w:t>
      </w:r>
    </w:p>
    <w:p>
      <w:pPr>
        <w:numPr>
          <w:ilvl w:val="0"/>
          <w:numId w:val="2"/>
        </w:num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日常经费预算较低，导致单位日常公用经费紧张。</w:t>
      </w:r>
    </w:p>
    <w:p>
      <w:pPr>
        <w:spacing w:line="520" w:lineRule="exact"/>
        <w:ind w:firstLine="640" w:firstLineChars="200"/>
        <w:rPr>
          <w:rFonts w:hint="eastAsia" w:ascii="仿宋" w:hAnsi="仿宋" w:eastAsia="仿宋" w:cs="仿宋_GB2312"/>
          <w:sz w:val="32"/>
          <w:szCs w:val="32"/>
        </w:rPr>
      </w:pPr>
      <w:r>
        <w:rPr>
          <w:rFonts w:eastAsia="黑体"/>
          <w:sz w:val="32"/>
          <w:szCs w:val="32"/>
        </w:rPr>
        <w:t>八、下一步改进措施</w:t>
      </w:r>
      <w:r>
        <w:rPr>
          <w:rFonts w:hint="eastAsia" w:eastAsia="黑体"/>
          <w:sz w:val="32"/>
          <w:szCs w:val="32"/>
          <w:lang w:eastAsia="zh-CN"/>
        </w:rPr>
        <w:t>：</w:t>
      </w:r>
      <w:r>
        <w:rPr>
          <w:rFonts w:hint="eastAsia" w:ascii="仿宋" w:hAnsi="仿宋" w:eastAsia="仿宋" w:cs="仿宋_GB2312"/>
          <w:sz w:val="32"/>
          <w:szCs w:val="32"/>
        </w:rPr>
        <w:t>严格界定基本支出和项目支出范围，进一步明确预算绩效管理的责任主体，强化预算执行管理，提高财政资金使用的安全性、规化性、有效性。</w:t>
      </w:r>
    </w:p>
    <w:p>
      <w:pPr>
        <w:spacing w:line="520" w:lineRule="exact"/>
        <w:ind w:firstLine="640" w:firstLineChars="200"/>
        <w:rPr>
          <w:rFonts w:hint="eastAsia" w:ascii="仿宋" w:hAnsi="仿宋" w:eastAsia="仿宋" w:cs="仿宋_GB2312"/>
          <w:sz w:val="32"/>
          <w:szCs w:val="32"/>
          <w:lang w:eastAsia="zh-CN"/>
        </w:rPr>
      </w:pPr>
      <w:r>
        <w:rPr>
          <w:rFonts w:eastAsia="黑体"/>
          <w:sz w:val="32"/>
          <w:szCs w:val="32"/>
        </w:rPr>
        <w:t>九、绩效自评结果拟应用和公开情况</w:t>
      </w:r>
      <w:r>
        <w:rPr>
          <w:rFonts w:hint="eastAsia" w:eastAsia="黑体"/>
          <w:sz w:val="32"/>
          <w:szCs w:val="32"/>
          <w:lang w:eastAsia="zh-CN"/>
        </w:rPr>
        <w:t>：</w:t>
      </w:r>
      <w:r>
        <w:rPr>
          <w:rFonts w:hint="eastAsia" w:ascii="仿宋" w:hAnsi="仿宋" w:eastAsia="仿宋" w:cs="仿宋_GB2312"/>
          <w:sz w:val="32"/>
          <w:szCs w:val="32"/>
          <w:lang w:eastAsia="zh-CN"/>
        </w:rPr>
        <w:t>绩效自评报告在在本部门网站公开。</w:t>
      </w:r>
    </w:p>
    <w:p>
      <w:pPr>
        <w:spacing w:line="520" w:lineRule="exact"/>
        <w:ind w:firstLine="640" w:firstLineChars="200"/>
        <w:rPr>
          <w:rFonts w:hint="eastAsia" w:eastAsia="黑体"/>
          <w:sz w:val="32"/>
          <w:szCs w:val="32"/>
          <w:lang w:eastAsia="zh-CN"/>
        </w:rPr>
      </w:pPr>
      <w:r>
        <w:rPr>
          <w:rFonts w:hint="eastAsia" w:eastAsia="黑体"/>
          <w:sz w:val="32"/>
          <w:szCs w:val="32"/>
        </w:rPr>
        <w:t>其他需要说明的情况</w:t>
      </w:r>
      <w:r>
        <w:rPr>
          <w:rFonts w:hint="eastAsia" w:eastAsia="黑体"/>
          <w:sz w:val="32"/>
          <w:szCs w:val="32"/>
          <w:lang w:eastAsia="zh-CN"/>
        </w:rPr>
        <w:t>：无。</w:t>
      </w:r>
    </w:p>
    <w:p>
      <w:pPr>
        <w:spacing w:line="520" w:lineRule="exact"/>
        <w:ind w:firstLine="640" w:firstLineChars="200"/>
        <w:rPr>
          <w:rFonts w:eastAsia="黑体"/>
          <w:sz w:val="32"/>
          <w:szCs w:val="32"/>
        </w:rPr>
      </w:pPr>
    </w:p>
    <w:p>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E2277"/>
    <w:multiLevelType w:val="singleLevel"/>
    <w:tmpl w:val="FBAE2277"/>
    <w:lvl w:ilvl="0" w:tentative="0">
      <w:start w:val="2"/>
      <w:numFmt w:val="chineseCounting"/>
      <w:suff w:val="nothing"/>
      <w:lvlText w:val="（%1）"/>
      <w:lvlJc w:val="left"/>
      <w:rPr>
        <w:rFonts w:hint="eastAsia"/>
      </w:rPr>
    </w:lvl>
  </w:abstractNum>
  <w:abstractNum w:abstractNumId="1">
    <w:nsid w:val="5615C5AB"/>
    <w:multiLevelType w:val="singleLevel"/>
    <w:tmpl w:val="5615C5A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GNlNDZiYTJkZmUzNTFhNzE1MWM4Mzk4MjI1OGUifQ=="/>
  </w:docVars>
  <w:rsids>
    <w:rsidRoot w:val="00000000"/>
    <w:rsid w:val="08562177"/>
    <w:rsid w:val="2E48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2023-09-05T07:25:00Z</dcterms:created>
  <dc:creator>Administrator</dc:creator>
  <cp:lastModifiedBy>Administrator</cp:lastModifiedBy>
  <dcterms:modified xsi:type="dcterms:W3CDTF">2024-12-18T02:09:22Z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77544CF37E8E490B880DE23D7A99C501_12</vt:lpwstr>
  </property>
</Properties>
</file>